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D43" w:rsidRDefault="00265D43" w:rsidP="00265D43">
      <w:pPr>
        <w:rPr>
          <w:rFonts w:asciiTheme="minorEastAsia" w:hAnsiTheme="minorEastAsia"/>
          <w:emboss/>
          <w:color w:val="C00000"/>
          <w:sz w:val="44"/>
          <w:szCs w:val="44"/>
        </w:rPr>
      </w:pPr>
      <w:r w:rsidRPr="00240308">
        <w:rPr>
          <w:rFonts w:asciiTheme="minorEastAsia" w:hAnsiTheme="minorEastAsia"/>
          <w:emboss/>
          <w:color w:val="C00000"/>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1.25pt;height:44.25pt" fillcolor="red" strokecolor="red">
            <v:textpath style="font-family:&quot;宋体&quot;" trim="t" fitpath="t" string="2022年度宛城区法院中心城区"/>
          </v:shape>
        </w:pict>
      </w:r>
    </w:p>
    <w:p w:rsidR="00265D43" w:rsidRDefault="00265D43" w:rsidP="00265D43">
      <w:pPr>
        <w:rPr>
          <w:rFonts w:asciiTheme="minorEastAsia" w:hAnsiTheme="minorEastAsia"/>
          <w:emboss/>
          <w:color w:val="C00000"/>
          <w:sz w:val="44"/>
          <w:szCs w:val="44"/>
        </w:rPr>
      </w:pPr>
    </w:p>
    <w:p w:rsidR="00265D43" w:rsidRDefault="00265D43" w:rsidP="00265D43">
      <w:pPr>
        <w:ind w:firstLineChars="250" w:firstLine="525"/>
        <w:rPr>
          <w:szCs w:val="44"/>
        </w:rPr>
      </w:pPr>
      <w:r>
        <w:rPr>
          <w:rFonts w:hint="eastAsia"/>
          <w:szCs w:val="44"/>
        </w:rPr>
        <w:t xml:space="preserve">             </w:t>
      </w:r>
      <w:r>
        <w:rPr>
          <w:noProof/>
          <w:szCs w:val="44"/>
        </w:rPr>
        <w:drawing>
          <wp:inline distT="0" distB="0" distL="0" distR="0">
            <wp:extent cx="3019425" cy="3077210"/>
            <wp:effectExtent l="0" t="0" r="9525" b="8890"/>
            <wp:docPr id="9" name="图片 3" descr="u=2144824529,3758515860&amp;fm=26&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u=2144824529,3758515860&amp;fm=26&amp;gp=0.jpg"/>
                    <pic:cNvPicPr>
                      <a:picLocks noChangeAspect="1"/>
                    </pic:cNvPicPr>
                  </pic:nvPicPr>
                  <pic:blipFill>
                    <a:blip r:embed="rId9"/>
                    <a:stretch>
                      <a:fillRect/>
                    </a:stretch>
                  </pic:blipFill>
                  <pic:spPr>
                    <a:xfrm>
                      <a:off x="0" y="0"/>
                      <a:ext cx="3020153" cy="3078295"/>
                    </a:xfrm>
                    <a:prstGeom prst="rect">
                      <a:avLst/>
                    </a:prstGeom>
                  </pic:spPr>
                </pic:pic>
              </a:graphicData>
            </a:graphic>
          </wp:inline>
        </w:drawing>
      </w:r>
      <w:r>
        <w:rPr>
          <w:rFonts w:hint="eastAsia"/>
          <w:szCs w:val="44"/>
        </w:rPr>
        <w:t xml:space="preserve"> </w:t>
      </w:r>
    </w:p>
    <w:p w:rsidR="00265D43" w:rsidRDefault="00265D43" w:rsidP="00265D43">
      <w:pPr>
        <w:ind w:firstLineChars="250" w:firstLine="525"/>
        <w:rPr>
          <w:szCs w:val="44"/>
        </w:rPr>
      </w:pPr>
    </w:p>
    <w:p w:rsidR="00265D43" w:rsidRDefault="00265D43" w:rsidP="00265D43">
      <w:pPr>
        <w:ind w:firstLineChars="250" w:firstLine="525"/>
        <w:rPr>
          <w:szCs w:val="44"/>
        </w:rPr>
      </w:pPr>
    </w:p>
    <w:p w:rsidR="00265D43" w:rsidRDefault="00265D43" w:rsidP="00265D43">
      <w:pPr>
        <w:rPr>
          <w:szCs w:val="44"/>
        </w:rPr>
      </w:pPr>
    </w:p>
    <w:p w:rsidR="00265D43" w:rsidRDefault="00265D43" w:rsidP="00265D43">
      <w:pPr>
        <w:jc w:val="center"/>
        <w:rPr>
          <w:szCs w:val="44"/>
        </w:rPr>
      </w:pPr>
      <w:r w:rsidRPr="00240308">
        <w:rPr>
          <w:rFonts w:asciiTheme="majorEastAsia" w:eastAsiaTheme="majorEastAsia" w:hAnsiTheme="majorEastAsia"/>
          <w:emboss/>
          <w:color w:val="C00000"/>
          <w:sz w:val="72"/>
          <w:szCs w:val="72"/>
        </w:rPr>
        <w:pict>
          <v:shape id="_x0000_i1026" type="#_x0000_t136" style="width:252pt;height:36pt" fillcolor="red" strokecolor="red">
            <v:textpath style="font-family:&quot;宋体&quot;" trim="t" fitpath="t" string="家事审判白皮书"/>
          </v:shape>
        </w:pict>
      </w:r>
    </w:p>
    <w:p w:rsidR="00265D43" w:rsidRDefault="00265D43" w:rsidP="00265D43">
      <w:pPr>
        <w:ind w:firstLineChars="550" w:firstLine="1155"/>
        <w:rPr>
          <w:szCs w:val="44"/>
        </w:rPr>
      </w:pPr>
    </w:p>
    <w:p w:rsidR="00265D43" w:rsidRDefault="00265D43" w:rsidP="00265D43">
      <w:pPr>
        <w:ind w:firstLineChars="550" w:firstLine="1155"/>
        <w:rPr>
          <w:szCs w:val="44"/>
        </w:rPr>
      </w:pPr>
    </w:p>
    <w:p w:rsidR="00265D43" w:rsidRDefault="00265D43" w:rsidP="00265D43">
      <w:pPr>
        <w:ind w:firstLineChars="550" w:firstLine="1155"/>
        <w:rPr>
          <w:szCs w:val="44"/>
        </w:rPr>
      </w:pPr>
      <w:r>
        <w:rPr>
          <w:rFonts w:hint="eastAsia"/>
          <w:szCs w:val="44"/>
        </w:rPr>
        <w:t xml:space="preserve"> </w:t>
      </w:r>
    </w:p>
    <w:p w:rsidR="00265D43" w:rsidRDefault="00265D43" w:rsidP="00265D43">
      <w:pPr>
        <w:ind w:firstLineChars="650" w:firstLine="2349"/>
        <w:rPr>
          <w:b/>
          <w:color w:val="FF0000"/>
          <w:sz w:val="36"/>
          <w:szCs w:val="36"/>
        </w:rPr>
      </w:pPr>
      <w:r>
        <w:rPr>
          <w:b/>
          <w:color w:val="FF0000"/>
          <w:sz w:val="36"/>
          <w:szCs w:val="36"/>
        </w:rPr>
        <w:t>南阳市宛城区人民法院</w:t>
      </w:r>
      <w:r>
        <w:rPr>
          <w:rFonts w:hint="eastAsia"/>
          <w:b/>
          <w:color w:val="FF0000"/>
          <w:sz w:val="36"/>
          <w:szCs w:val="36"/>
        </w:rPr>
        <w:t xml:space="preserve">         </w:t>
      </w:r>
    </w:p>
    <w:p w:rsidR="00265D43" w:rsidRDefault="00265D43">
      <w:pPr>
        <w:jc w:val="center"/>
        <w:rPr>
          <w:rFonts w:ascii="宋体" w:eastAsia="宋体" w:hAnsi="宋体" w:cs="宋体" w:hint="eastAsia"/>
          <w:b/>
          <w:bCs/>
          <w:sz w:val="32"/>
          <w:szCs w:val="28"/>
        </w:rPr>
      </w:pPr>
    </w:p>
    <w:p w:rsidR="00265D43" w:rsidRDefault="00265D43">
      <w:pPr>
        <w:jc w:val="center"/>
        <w:rPr>
          <w:rFonts w:ascii="宋体" w:eastAsia="宋体" w:hAnsi="宋体" w:cs="宋体" w:hint="eastAsia"/>
          <w:b/>
          <w:bCs/>
          <w:sz w:val="32"/>
          <w:szCs w:val="28"/>
        </w:rPr>
      </w:pPr>
    </w:p>
    <w:p w:rsidR="00265D43" w:rsidRDefault="00265D43">
      <w:pPr>
        <w:jc w:val="center"/>
        <w:rPr>
          <w:rFonts w:ascii="宋体" w:eastAsia="宋体" w:hAnsi="宋体" w:cs="宋体" w:hint="eastAsia"/>
          <w:b/>
          <w:bCs/>
          <w:sz w:val="32"/>
          <w:szCs w:val="28"/>
        </w:rPr>
      </w:pPr>
    </w:p>
    <w:p w:rsidR="00265D43" w:rsidRDefault="00265D43">
      <w:pPr>
        <w:jc w:val="center"/>
        <w:rPr>
          <w:rFonts w:ascii="宋体" w:eastAsia="宋体" w:hAnsi="宋体" w:cs="宋体" w:hint="eastAsia"/>
          <w:b/>
          <w:bCs/>
          <w:sz w:val="32"/>
          <w:szCs w:val="28"/>
        </w:rPr>
      </w:pPr>
    </w:p>
    <w:p w:rsidR="00265D43" w:rsidRDefault="00265D43">
      <w:pPr>
        <w:jc w:val="center"/>
        <w:rPr>
          <w:rFonts w:ascii="宋体" w:eastAsia="宋体" w:hAnsi="宋体" w:cs="宋体" w:hint="eastAsia"/>
          <w:b/>
          <w:bCs/>
          <w:sz w:val="32"/>
          <w:szCs w:val="28"/>
        </w:rPr>
      </w:pPr>
    </w:p>
    <w:p w:rsidR="00265D43" w:rsidRDefault="00265D43">
      <w:pPr>
        <w:jc w:val="center"/>
        <w:rPr>
          <w:rFonts w:ascii="宋体" w:eastAsia="宋体" w:hAnsi="宋体" w:cs="宋体" w:hint="eastAsia"/>
          <w:b/>
          <w:bCs/>
          <w:sz w:val="32"/>
          <w:szCs w:val="28"/>
        </w:rPr>
      </w:pPr>
    </w:p>
    <w:p w:rsidR="00225C4F" w:rsidRDefault="001935FC">
      <w:pPr>
        <w:jc w:val="center"/>
        <w:rPr>
          <w:rFonts w:ascii="宋体" w:eastAsia="宋体" w:hAnsi="宋体" w:cs="宋体"/>
          <w:b/>
          <w:bCs/>
          <w:sz w:val="32"/>
          <w:szCs w:val="28"/>
        </w:rPr>
      </w:pPr>
      <w:r>
        <w:rPr>
          <w:rFonts w:ascii="宋体" w:eastAsia="宋体" w:hAnsi="宋体" w:cs="宋体" w:hint="eastAsia"/>
          <w:b/>
          <w:bCs/>
          <w:sz w:val="32"/>
          <w:szCs w:val="28"/>
        </w:rPr>
        <w:lastRenderedPageBreak/>
        <w:t>前言</w:t>
      </w:r>
    </w:p>
    <w:p w:rsidR="00225C4F" w:rsidRDefault="001935FC">
      <w:pPr>
        <w:spacing w:line="560" w:lineRule="exact"/>
        <w:ind w:firstLine="560"/>
        <w:rPr>
          <w:rFonts w:asciiTheme="minorEastAsia" w:hAnsiTheme="minorEastAsia" w:cs="宋体"/>
          <w:sz w:val="28"/>
          <w:szCs w:val="28"/>
        </w:rPr>
      </w:pPr>
      <w:r>
        <w:rPr>
          <w:rFonts w:asciiTheme="minorEastAsia" w:hAnsiTheme="minorEastAsia" w:cs="宋体" w:hint="eastAsia"/>
          <w:sz w:val="28"/>
          <w:szCs w:val="28"/>
        </w:rPr>
        <w:t>家庭是社会的细胞，家庭和睦发展对于国家发展、社会稳定有着积极的推动作用。近年来家事纠纷呈现出案件数量多、矛盾深、当事人情绪激烈等特点。如若处理不当将会引发恶性事件，对于社会稳定将会是极大的威胁。</w:t>
      </w:r>
      <w:r>
        <w:rPr>
          <w:rFonts w:asciiTheme="minorEastAsia" w:hAnsiTheme="minorEastAsia" w:cs="宋体" w:hint="eastAsia"/>
          <w:sz w:val="28"/>
          <w:szCs w:val="28"/>
        </w:rPr>
        <w:t>2021</w:t>
      </w:r>
      <w:r>
        <w:rPr>
          <w:rFonts w:asciiTheme="minorEastAsia" w:hAnsiTheme="minorEastAsia" w:cs="宋体" w:hint="eastAsia"/>
          <w:sz w:val="28"/>
          <w:szCs w:val="28"/>
        </w:rPr>
        <w:t>年</w:t>
      </w:r>
      <w:r>
        <w:rPr>
          <w:rFonts w:asciiTheme="minorEastAsia" w:hAnsiTheme="minorEastAsia" w:cs="宋体" w:hint="eastAsia"/>
          <w:sz w:val="28"/>
          <w:szCs w:val="28"/>
        </w:rPr>
        <w:t>8</w:t>
      </w:r>
      <w:r>
        <w:rPr>
          <w:rFonts w:asciiTheme="minorEastAsia" w:hAnsiTheme="minorEastAsia" w:cs="宋体" w:hint="eastAsia"/>
          <w:sz w:val="28"/>
          <w:szCs w:val="28"/>
        </w:rPr>
        <w:t>月以来，根据上级法院的指导和要求，南阳市宛城区人民法院调整东关中心法庭为家事纠纷案件专业化审判团队，负责审理南阳市宛城区中心城区的家事纠纷案件。</w:t>
      </w:r>
      <w:r>
        <w:rPr>
          <w:rFonts w:asciiTheme="minorEastAsia" w:hAnsiTheme="minorEastAsia" w:cs="宋体" w:hint="eastAsia"/>
          <w:sz w:val="28"/>
          <w:szCs w:val="28"/>
        </w:rPr>
        <w:t>2022</w:t>
      </w:r>
      <w:r>
        <w:rPr>
          <w:rFonts w:asciiTheme="minorEastAsia" w:hAnsiTheme="minorEastAsia" w:cs="宋体" w:hint="eastAsia"/>
          <w:sz w:val="28"/>
          <w:szCs w:val="28"/>
        </w:rPr>
        <w:t>年</w:t>
      </w:r>
      <w:r>
        <w:rPr>
          <w:rFonts w:asciiTheme="minorEastAsia" w:hAnsiTheme="minorEastAsia" w:cs="宋体" w:hint="eastAsia"/>
          <w:sz w:val="28"/>
          <w:szCs w:val="28"/>
        </w:rPr>
        <w:t>7</w:t>
      </w:r>
      <w:r>
        <w:rPr>
          <w:rFonts w:asciiTheme="minorEastAsia" w:hAnsiTheme="minorEastAsia" w:cs="宋体" w:hint="eastAsia"/>
          <w:sz w:val="28"/>
          <w:szCs w:val="28"/>
        </w:rPr>
        <w:t>月，南阳市宛城区人民法院将未成年人犯罪刑事案件归口家事审判庭审理，创出了宛城家事审判的特色。自东关中心法庭成为家事纠纷专业化审判团队以来，通过对发生在</w:t>
      </w:r>
      <w:r>
        <w:rPr>
          <w:rFonts w:asciiTheme="minorEastAsia" w:hAnsiTheme="minorEastAsia" w:cs="宋体" w:hint="eastAsia"/>
          <w:sz w:val="28"/>
          <w:szCs w:val="28"/>
        </w:rPr>
        <w:t>中心城区的家事纠纷案件特点进行深度分析，对家事纠纷案件审判改革进行积极探索，以期通过对</w:t>
      </w:r>
      <w:r>
        <w:rPr>
          <w:rFonts w:asciiTheme="minorEastAsia" w:hAnsiTheme="minorEastAsia" w:cs="宋体" w:hint="eastAsia"/>
          <w:sz w:val="28"/>
          <w:szCs w:val="28"/>
        </w:rPr>
        <w:t>2021</w:t>
      </w:r>
      <w:r>
        <w:rPr>
          <w:rFonts w:asciiTheme="minorEastAsia" w:hAnsiTheme="minorEastAsia" w:cs="宋体" w:hint="eastAsia"/>
          <w:sz w:val="28"/>
          <w:szCs w:val="28"/>
        </w:rPr>
        <w:t>年及</w:t>
      </w:r>
      <w:r>
        <w:rPr>
          <w:rFonts w:asciiTheme="minorEastAsia" w:hAnsiTheme="minorEastAsia" w:cs="宋体" w:hint="eastAsia"/>
          <w:sz w:val="28"/>
          <w:szCs w:val="28"/>
        </w:rPr>
        <w:t>2022</w:t>
      </w:r>
      <w:r>
        <w:rPr>
          <w:rFonts w:asciiTheme="minorEastAsia" w:hAnsiTheme="minorEastAsia" w:cs="宋体" w:hint="eastAsia"/>
          <w:sz w:val="28"/>
          <w:szCs w:val="28"/>
        </w:rPr>
        <w:t>年</w:t>
      </w:r>
      <w:r>
        <w:rPr>
          <w:rFonts w:asciiTheme="minorEastAsia" w:hAnsiTheme="minorEastAsia" w:cs="宋体" w:hint="eastAsia"/>
          <w:sz w:val="28"/>
          <w:szCs w:val="28"/>
        </w:rPr>
        <w:t>近两年</w:t>
      </w:r>
      <w:bookmarkStart w:id="0" w:name="_GoBack"/>
      <w:bookmarkEnd w:id="0"/>
      <w:r>
        <w:rPr>
          <w:rFonts w:asciiTheme="minorEastAsia" w:hAnsiTheme="minorEastAsia" w:cs="宋体" w:hint="eastAsia"/>
          <w:sz w:val="28"/>
          <w:szCs w:val="28"/>
        </w:rPr>
        <w:t>家事案件的分析发现当前审判中出现的问题，进而推动家事审判专业化的深度发展。</w:t>
      </w:r>
    </w:p>
    <w:p w:rsidR="00225C4F" w:rsidRDefault="001935FC">
      <w:pPr>
        <w:spacing w:line="560" w:lineRule="exact"/>
        <w:ind w:firstLineChars="200" w:firstLine="562"/>
        <w:rPr>
          <w:rFonts w:asciiTheme="minorEastAsia" w:hAnsiTheme="minorEastAsia" w:cs="宋体"/>
          <w:b/>
          <w:sz w:val="28"/>
          <w:szCs w:val="28"/>
        </w:rPr>
      </w:pPr>
      <w:r>
        <w:rPr>
          <w:rFonts w:asciiTheme="minorEastAsia" w:hAnsiTheme="minorEastAsia" w:cs="宋体" w:hint="eastAsia"/>
          <w:b/>
          <w:sz w:val="28"/>
          <w:szCs w:val="28"/>
        </w:rPr>
        <w:t>一、宛城区人民法院东关法庭家事审判工作概况</w:t>
      </w:r>
    </w:p>
    <w:p w:rsidR="00225C4F" w:rsidRDefault="001935FC">
      <w:pPr>
        <w:spacing w:line="560" w:lineRule="exact"/>
        <w:ind w:firstLineChars="200" w:firstLine="560"/>
        <w:rPr>
          <w:rFonts w:asciiTheme="minorEastAsia" w:hAnsiTheme="minorEastAsia" w:cs="宋体"/>
          <w:sz w:val="28"/>
          <w:szCs w:val="28"/>
        </w:rPr>
      </w:pPr>
      <w:r>
        <w:rPr>
          <w:rFonts w:asciiTheme="minorEastAsia" w:hAnsiTheme="minorEastAsia" w:cs="宋体" w:hint="eastAsia"/>
          <w:sz w:val="28"/>
          <w:szCs w:val="28"/>
        </w:rPr>
        <w:t>通过我院近两年审理的家事纠纷案件进行分析发现，近年来家事纠纷案件数量持续高位増长，在民事审判中所占比例越来越高。（详见表一）从案件类型上分析，离婚纠纷案件所占比例最高，是当前家事纠纷案件中的主要案件类型，占据各类家事案件结案总数的最大比例，且呈现出逐渐增高的趋势。（详见表二）离</w:t>
      </w:r>
      <w:r>
        <w:rPr>
          <w:rFonts w:asciiTheme="minorEastAsia" w:hAnsiTheme="minorEastAsia" w:cs="宋体" w:hint="eastAsia"/>
          <w:sz w:val="28"/>
          <w:szCs w:val="28"/>
        </w:rPr>
        <w:t>婚案件越来越多，且其原因较为复杂，既有性格不和、缺乏沟通，又有一方出轨导致感情破裂，甚至还有婆媳矛盾、家庭暴力等原因，离婚案件不仅仅是家庭矛盾的体现，也是当前民事审判中极为重要的一环。</w:t>
      </w:r>
    </w:p>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 xml:space="preserve">  </w:t>
      </w:r>
      <w:r>
        <w:rPr>
          <w:rFonts w:asciiTheme="minorEastAsia" w:hAnsiTheme="minorEastAsia" w:cs="宋体" w:hint="eastAsia"/>
          <w:sz w:val="28"/>
          <w:szCs w:val="28"/>
        </w:rPr>
        <w:t>表一</w:t>
      </w:r>
      <w:r>
        <w:rPr>
          <w:rFonts w:asciiTheme="minorEastAsia" w:hAnsiTheme="minorEastAsia" w:cs="宋体" w:hint="eastAsia"/>
          <w:sz w:val="28"/>
          <w:szCs w:val="28"/>
        </w:rPr>
        <w:t xml:space="preserve">  2021</w:t>
      </w:r>
      <w:r>
        <w:rPr>
          <w:rFonts w:asciiTheme="minorEastAsia" w:hAnsiTheme="minorEastAsia" w:cs="宋体" w:hint="eastAsia"/>
          <w:sz w:val="28"/>
          <w:szCs w:val="28"/>
        </w:rPr>
        <w:t>年及</w:t>
      </w:r>
      <w:r>
        <w:rPr>
          <w:rFonts w:asciiTheme="minorEastAsia" w:hAnsiTheme="minorEastAsia" w:cs="宋体" w:hint="eastAsia"/>
          <w:sz w:val="28"/>
          <w:szCs w:val="28"/>
        </w:rPr>
        <w:t>2022</w:t>
      </w:r>
      <w:r>
        <w:rPr>
          <w:rFonts w:asciiTheme="minorEastAsia" w:hAnsiTheme="minorEastAsia" w:cs="宋体" w:hint="eastAsia"/>
          <w:sz w:val="28"/>
          <w:szCs w:val="28"/>
        </w:rPr>
        <w:t>年东关法庭家事案件收结案情况统计</w:t>
      </w:r>
    </w:p>
    <w:tbl>
      <w:tblPr>
        <w:tblStyle w:val="a7"/>
        <w:tblW w:w="8244" w:type="dxa"/>
        <w:tblInd w:w="226" w:type="dxa"/>
        <w:shd w:val="clear" w:color="auto" w:fill="DEEBF6" w:themeFill="accent1" w:themeFillTint="32"/>
        <w:tblLook w:val="04A0"/>
      </w:tblPr>
      <w:tblGrid>
        <w:gridCol w:w="1129"/>
        <w:gridCol w:w="1237"/>
        <w:gridCol w:w="1201"/>
        <w:gridCol w:w="1279"/>
        <w:gridCol w:w="1175"/>
        <w:gridCol w:w="1167"/>
        <w:gridCol w:w="1056"/>
      </w:tblGrid>
      <w:tr w:rsidR="00225C4F">
        <w:trPr>
          <w:trHeight w:val="696"/>
        </w:trPr>
        <w:tc>
          <w:tcPr>
            <w:tcW w:w="1134" w:type="dxa"/>
            <w:shd w:val="clear" w:color="auto" w:fill="8496B0" w:themeFill="text2" w:themeFillTint="99"/>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案件类</w:t>
            </w:r>
            <w:r>
              <w:rPr>
                <w:rFonts w:asciiTheme="minorEastAsia" w:hAnsiTheme="minorEastAsia" w:cs="宋体" w:hint="eastAsia"/>
                <w:sz w:val="28"/>
                <w:szCs w:val="28"/>
              </w:rPr>
              <w:lastRenderedPageBreak/>
              <w:t>型</w:t>
            </w:r>
          </w:p>
        </w:tc>
        <w:tc>
          <w:tcPr>
            <w:tcW w:w="3740" w:type="dxa"/>
            <w:gridSpan w:val="3"/>
            <w:shd w:val="clear" w:color="auto" w:fill="8496B0" w:themeFill="text2" w:themeFillTint="99"/>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lastRenderedPageBreak/>
              <w:t>民事案件</w:t>
            </w:r>
          </w:p>
        </w:tc>
        <w:tc>
          <w:tcPr>
            <w:tcW w:w="3370" w:type="dxa"/>
            <w:gridSpan w:val="3"/>
            <w:shd w:val="clear" w:color="auto" w:fill="8496B0" w:themeFill="text2" w:themeFillTint="99"/>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家事案件</w:t>
            </w:r>
          </w:p>
        </w:tc>
      </w:tr>
      <w:tr w:rsidR="00225C4F">
        <w:trPr>
          <w:trHeight w:val="796"/>
        </w:trPr>
        <w:tc>
          <w:tcPr>
            <w:tcW w:w="1134" w:type="dxa"/>
            <w:shd w:val="clear" w:color="auto" w:fill="DEEBF6" w:themeFill="accent1" w:themeFillTint="32"/>
          </w:tcPr>
          <w:p w:rsidR="00225C4F" w:rsidRDefault="00225C4F">
            <w:pPr>
              <w:spacing w:line="560" w:lineRule="exact"/>
              <w:jc w:val="center"/>
              <w:rPr>
                <w:rFonts w:asciiTheme="minorEastAsia" w:hAnsiTheme="minorEastAsia" w:cs="宋体"/>
                <w:sz w:val="28"/>
                <w:szCs w:val="28"/>
              </w:rPr>
            </w:pPr>
          </w:p>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收结案情况</w:t>
            </w:r>
          </w:p>
        </w:tc>
        <w:tc>
          <w:tcPr>
            <w:tcW w:w="1247" w:type="dxa"/>
            <w:shd w:val="clear" w:color="auto" w:fill="DEEBF6" w:themeFill="accent1" w:themeFillTint="32"/>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收案数</w:t>
            </w:r>
          </w:p>
        </w:tc>
        <w:tc>
          <w:tcPr>
            <w:tcW w:w="1210" w:type="dxa"/>
            <w:shd w:val="clear" w:color="auto" w:fill="DEEBF6" w:themeFill="accent1" w:themeFillTint="32"/>
            <w:vAlign w:val="center"/>
          </w:tcPr>
          <w:p w:rsidR="00225C4F" w:rsidRDefault="001935FC">
            <w:pPr>
              <w:tabs>
                <w:tab w:val="right" w:pos="1608"/>
              </w:tabs>
              <w:spacing w:line="560" w:lineRule="exact"/>
              <w:jc w:val="center"/>
              <w:rPr>
                <w:rFonts w:asciiTheme="minorEastAsia" w:hAnsiTheme="minorEastAsia" w:cs="宋体"/>
                <w:sz w:val="28"/>
                <w:szCs w:val="28"/>
              </w:rPr>
            </w:pPr>
            <w:r>
              <w:rPr>
                <w:rFonts w:asciiTheme="minorEastAsia" w:hAnsiTheme="minorEastAsia" w:cs="宋体" w:hint="eastAsia"/>
                <w:sz w:val="28"/>
                <w:szCs w:val="28"/>
              </w:rPr>
              <w:t>结案数</w:t>
            </w:r>
          </w:p>
        </w:tc>
        <w:tc>
          <w:tcPr>
            <w:tcW w:w="1283" w:type="dxa"/>
            <w:shd w:val="clear" w:color="auto" w:fill="DEEBF6" w:themeFill="accent1" w:themeFillTint="32"/>
            <w:vAlign w:val="center"/>
          </w:tcPr>
          <w:p w:rsidR="00225C4F" w:rsidRDefault="001935FC">
            <w:pPr>
              <w:tabs>
                <w:tab w:val="right" w:pos="1608"/>
              </w:tabs>
              <w:spacing w:line="560" w:lineRule="exact"/>
              <w:jc w:val="center"/>
              <w:rPr>
                <w:rFonts w:asciiTheme="minorEastAsia" w:hAnsiTheme="minorEastAsia" w:cs="宋体"/>
                <w:sz w:val="28"/>
                <w:szCs w:val="28"/>
              </w:rPr>
            </w:pPr>
            <w:r>
              <w:rPr>
                <w:rFonts w:asciiTheme="minorEastAsia" w:hAnsiTheme="minorEastAsia" w:cs="宋体" w:hint="eastAsia"/>
                <w:sz w:val="28"/>
                <w:szCs w:val="28"/>
              </w:rPr>
              <w:t>结案率</w:t>
            </w:r>
          </w:p>
        </w:tc>
        <w:tc>
          <w:tcPr>
            <w:tcW w:w="1184" w:type="dxa"/>
            <w:shd w:val="clear" w:color="auto" w:fill="DEEBF6" w:themeFill="accent1" w:themeFillTint="32"/>
            <w:vAlign w:val="center"/>
          </w:tcPr>
          <w:p w:rsidR="00225C4F" w:rsidRDefault="001935FC">
            <w:pPr>
              <w:tabs>
                <w:tab w:val="right" w:pos="1608"/>
              </w:tabs>
              <w:spacing w:line="560" w:lineRule="exact"/>
              <w:jc w:val="center"/>
              <w:rPr>
                <w:rFonts w:asciiTheme="minorEastAsia" w:hAnsiTheme="minorEastAsia" w:cs="宋体"/>
                <w:sz w:val="28"/>
                <w:szCs w:val="28"/>
              </w:rPr>
            </w:pPr>
            <w:r>
              <w:rPr>
                <w:rFonts w:asciiTheme="minorEastAsia" w:hAnsiTheme="minorEastAsia" w:cs="宋体" w:hint="eastAsia"/>
                <w:sz w:val="28"/>
                <w:szCs w:val="28"/>
              </w:rPr>
              <w:t>收案数</w:t>
            </w:r>
          </w:p>
        </w:tc>
        <w:tc>
          <w:tcPr>
            <w:tcW w:w="1175" w:type="dxa"/>
            <w:shd w:val="clear" w:color="auto" w:fill="DEEBF6" w:themeFill="accent1" w:themeFillTint="32"/>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结案数</w:t>
            </w:r>
          </w:p>
        </w:tc>
        <w:tc>
          <w:tcPr>
            <w:tcW w:w="1011" w:type="dxa"/>
            <w:shd w:val="clear" w:color="auto" w:fill="DEEBF6" w:themeFill="accent1" w:themeFillTint="32"/>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结案率</w:t>
            </w:r>
          </w:p>
        </w:tc>
      </w:tr>
      <w:tr w:rsidR="00225C4F">
        <w:trPr>
          <w:trHeight w:val="742"/>
        </w:trPr>
        <w:tc>
          <w:tcPr>
            <w:tcW w:w="1134" w:type="dxa"/>
            <w:shd w:val="clear" w:color="auto" w:fill="DEEBF6" w:themeFill="accent1" w:themeFillTint="32"/>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2021</w:t>
            </w:r>
            <w:r>
              <w:rPr>
                <w:rFonts w:asciiTheme="minorEastAsia" w:hAnsiTheme="minorEastAsia" w:cs="宋体" w:hint="eastAsia"/>
                <w:sz w:val="28"/>
                <w:szCs w:val="28"/>
              </w:rPr>
              <w:t>年</w:t>
            </w:r>
          </w:p>
        </w:tc>
        <w:tc>
          <w:tcPr>
            <w:tcW w:w="1247" w:type="dxa"/>
            <w:shd w:val="clear" w:color="auto" w:fill="DEEBF6" w:themeFill="accent1" w:themeFillTint="32"/>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487</w:t>
            </w:r>
          </w:p>
        </w:tc>
        <w:tc>
          <w:tcPr>
            <w:tcW w:w="1210" w:type="dxa"/>
            <w:shd w:val="clear" w:color="auto" w:fill="DEEBF6" w:themeFill="accent1" w:themeFillTint="32"/>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490</w:t>
            </w:r>
          </w:p>
        </w:tc>
        <w:tc>
          <w:tcPr>
            <w:tcW w:w="1283" w:type="dxa"/>
            <w:shd w:val="clear" w:color="auto" w:fill="DEEBF6" w:themeFill="accent1" w:themeFillTint="32"/>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96.46%</w:t>
            </w:r>
          </w:p>
        </w:tc>
        <w:tc>
          <w:tcPr>
            <w:tcW w:w="1184" w:type="dxa"/>
            <w:shd w:val="clear" w:color="auto" w:fill="DEEBF6" w:themeFill="accent1" w:themeFillTint="32"/>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215</w:t>
            </w:r>
          </w:p>
        </w:tc>
        <w:tc>
          <w:tcPr>
            <w:tcW w:w="1175" w:type="dxa"/>
            <w:shd w:val="clear" w:color="auto" w:fill="DEEBF6" w:themeFill="accent1" w:themeFillTint="32"/>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204</w:t>
            </w:r>
          </w:p>
        </w:tc>
        <w:tc>
          <w:tcPr>
            <w:tcW w:w="1011" w:type="dxa"/>
            <w:shd w:val="clear" w:color="auto" w:fill="DEEBF6" w:themeFill="accent1" w:themeFillTint="32"/>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92.3%</w:t>
            </w:r>
          </w:p>
        </w:tc>
      </w:tr>
      <w:tr w:rsidR="00225C4F">
        <w:trPr>
          <w:trHeight w:val="708"/>
        </w:trPr>
        <w:tc>
          <w:tcPr>
            <w:tcW w:w="1134" w:type="dxa"/>
            <w:shd w:val="clear" w:color="auto" w:fill="DEEBF6" w:themeFill="accent1" w:themeFillTint="32"/>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2022</w:t>
            </w:r>
            <w:r>
              <w:rPr>
                <w:rFonts w:asciiTheme="minorEastAsia" w:hAnsiTheme="minorEastAsia" w:cs="宋体" w:hint="eastAsia"/>
                <w:sz w:val="28"/>
                <w:szCs w:val="28"/>
              </w:rPr>
              <w:t>年</w:t>
            </w:r>
          </w:p>
        </w:tc>
        <w:tc>
          <w:tcPr>
            <w:tcW w:w="1247" w:type="dxa"/>
            <w:shd w:val="clear" w:color="auto" w:fill="DEEBF6" w:themeFill="accent1" w:themeFillTint="32"/>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476</w:t>
            </w:r>
          </w:p>
        </w:tc>
        <w:tc>
          <w:tcPr>
            <w:tcW w:w="1210" w:type="dxa"/>
            <w:shd w:val="clear" w:color="auto" w:fill="DEEBF6" w:themeFill="accent1" w:themeFillTint="32"/>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461</w:t>
            </w:r>
          </w:p>
        </w:tc>
        <w:tc>
          <w:tcPr>
            <w:tcW w:w="1283" w:type="dxa"/>
            <w:shd w:val="clear" w:color="auto" w:fill="DEEBF6" w:themeFill="accent1" w:themeFillTint="32"/>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96.85%</w:t>
            </w:r>
          </w:p>
        </w:tc>
        <w:tc>
          <w:tcPr>
            <w:tcW w:w="1184" w:type="dxa"/>
            <w:shd w:val="clear" w:color="auto" w:fill="DEEBF6" w:themeFill="accent1" w:themeFillTint="32"/>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412</w:t>
            </w:r>
          </w:p>
        </w:tc>
        <w:tc>
          <w:tcPr>
            <w:tcW w:w="1175" w:type="dxa"/>
            <w:shd w:val="clear" w:color="auto" w:fill="DEEBF6" w:themeFill="accent1" w:themeFillTint="32"/>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394</w:t>
            </w:r>
          </w:p>
        </w:tc>
        <w:tc>
          <w:tcPr>
            <w:tcW w:w="1011" w:type="dxa"/>
            <w:shd w:val="clear" w:color="auto" w:fill="DEEBF6" w:themeFill="accent1" w:themeFillTint="32"/>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95.63%</w:t>
            </w:r>
          </w:p>
        </w:tc>
      </w:tr>
    </w:tbl>
    <w:p w:rsidR="00225C4F" w:rsidRDefault="001935FC">
      <w:pPr>
        <w:spacing w:line="560" w:lineRule="exact"/>
        <w:ind w:firstLineChars="196" w:firstLine="551"/>
        <w:rPr>
          <w:rFonts w:asciiTheme="minorEastAsia" w:hAnsiTheme="minorEastAsia" w:cs="宋体"/>
          <w:b/>
          <w:sz w:val="28"/>
          <w:szCs w:val="28"/>
        </w:rPr>
      </w:pPr>
      <w:r>
        <w:rPr>
          <w:rFonts w:asciiTheme="minorEastAsia" w:hAnsiTheme="minorEastAsia" w:cs="宋体" w:hint="eastAsia"/>
          <w:b/>
          <w:sz w:val="28"/>
          <w:szCs w:val="28"/>
        </w:rPr>
        <w:t>表二</w:t>
      </w:r>
      <w:r>
        <w:rPr>
          <w:rFonts w:asciiTheme="minorEastAsia" w:hAnsiTheme="minorEastAsia" w:cs="宋体" w:hint="eastAsia"/>
          <w:b/>
          <w:sz w:val="28"/>
          <w:szCs w:val="28"/>
        </w:rPr>
        <w:t xml:space="preserve">  </w:t>
      </w:r>
      <w:r>
        <w:rPr>
          <w:rFonts w:asciiTheme="minorEastAsia" w:hAnsiTheme="minorEastAsia" w:cs="宋体" w:hint="eastAsia"/>
          <w:b/>
          <w:sz w:val="28"/>
          <w:szCs w:val="28"/>
        </w:rPr>
        <w:t>东关法庭</w:t>
      </w:r>
      <w:r>
        <w:rPr>
          <w:rFonts w:asciiTheme="minorEastAsia" w:hAnsiTheme="minorEastAsia" w:cs="宋体" w:hint="eastAsia"/>
          <w:b/>
          <w:sz w:val="28"/>
          <w:szCs w:val="28"/>
        </w:rPr>
        <w:t>2021</w:t>
      </w:r>
      <w:r>
        <w:rPr>
          <w:rFonts w:asciiTheme="minorEastAsia" w:hAnsiTheme="minorEastAsia" w:cs="宋体" w:hint="eastAsia"/>
          <w:b/>
          <w:sz w:val="28"/>
          <w:szCs w:val="28"/>
        </w:rPr>
        <w:t>年及</w:t>
      </w:r>
      <w:r>
        <w:rPr>
          <w:rFonts w:asciiTheme="minorEastAsia" w:hAnsiTheme="minorEastAsia" w:cs="宋体" w:hint="eastAsia"/>
          <w:b/>
          <w:sz w:val="28"/>
          <w:szCs w:val="28"/>
        </w:rPr>
        <w:t>2022</w:t>
      </w:r>
      <w:r>
        <w:rPr>
          <w:rFonts w:asciiTheme="minorEastAsia" w:hAnsiTheme="minorEastAsia" w:cs="宋体" w:hint="eastAsia"/>
          <w:b/>
          <w:sz w:val="28"/>
          <w:szCs w:val="28"/>
        </w:rPr>
        <w:t>年家事纠纷各案由结案情况</w:t>
      </w:r>
    </w:p>
    <w:tbl>
      <w:tblPr>
        <w:tblStyle w:val="a7"/>
        <w:tblW w:w="8244" w:type="dxa"/>
        <w:tblInd w:w="226" w:type="dxa"/>
        <w:shd w:val="clear" w:color="auto" w:fill="DEEBF6" w:themeFill="accent1" w:themeFillTint="32"/>
        <w:tblLook w:val="04A0"/>
      </w:tblPr>
      <w:tblGrid>
        <w:gridCol w:w="1133"/>
        <w:gridCol w:w="1247"/>
        <w:gridCol w:w="1210"/>
        <w:gridCol w:w="37"/>
        <w:gridCol w:w="1247"/>
        <w:gridCol w:w="1123"/>
        <w:gridCol w:w="1123"/>
        <w:gridCol w:w="1124"/>
      </w:tblGrid>
      <w:tr w:rsidR="00225C4F">
        <w:trPr>
          <w:trHeight w:val="696"/>
        </w:trPr>
        <w:tc>
          <w:tcPr>
            <w:tcW w:w="1133" w:type="dxa"/>
            <w:shd w:val="clear" w:color="auto" w:fill="8496B0" w:themeFill="text2" w:themeFillTint="99"/>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sz w:val="28"/>
                <w:szCs w:val="28"/>
              </w:rPr>
              <w:t>案由</w:t>
            </w:r>
          </w:p>
        </w:tc>
        <w:tc>
          <w:tcPr>
            <w:tcW w:w="1247" w:type="dxa"/>
            <w:shd w:val="clear" w:color="auto" w:fill="8496B0" w:themeFill="text2" w:themeFillTint="99"/>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离婚</w:t>
            </w:r>
          </w:p>
        </w:tc>
        <w:tc>
          <w:tcPr>
            <w:tcW w:w="1247" w:type="dxa"/>
            <w:gridSpan w:val="2"/>
            <w:shd w:val="clear" w:color="auto" w:fill="8496B0" w:themeFill="text2" w:themeFillTint="99"/>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sz w:val="28"/>
                <w:szCs w:val="28"/>
              </w:rPr>
              <w:t>离婚后财产</w:t>
            </w:r>
          </w:p>
        </w:tc>
        <w:tc>
          <w:tcPr>
            <w:tcW w:w="1247" w:type="dxa"/>
            <w:shd w:val="clear" w:color="auto" w:fill="8496B0" w:themeFill="text2" w:themeFillTint="99"/>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sz w:val="28"/>
                <w:szCs w:val="28"/>
              </w:rPr>
              <w:t>婚约财产</w:t>
            </w:r>
          </w:p>
        </w:tc>
        <w:tc>
          <w:tcPr>
            <w:tcW w:w="1123" w:type="dxa"/>
            <w:shd w:val="clear" w:color="auto" w:fill="8496B0" w:themeFill="text2" w:themeFillTint="99"/>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抚养</w:t>
            </w:r>
          </w:p>
        </w:tc>
        <w:tc>
          <w:tcPr>
            <w:tcW w:w="1123" w:type="dxa"/>
            <w:shd w:val="clear" w:color="auto" w:fill="8496B0" w:themeFill="text2" w:themeFillTint="99"/>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sz w:val="28"/>
                <w:szCs w:val="28"/>
              </w:rPr>
              <w:t>赡养</w:t>
            </w:r>
          </w:p>
        </w:tc>
        <w:tc>
          <w:tcPr>
            <w:tcW w:w="1124" w:type="dxa"/>
            <w:shd w:val="clear" w:color="auto" w:fill="8496B0" w:themeFill="text2" w:themeFillTint="99"/>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sz w:val="28"/>
                <w:szCs w:val="28"/>
              </w:rPr>
              <w:t>继承</w:t>
            </w:r>
          </w:p>
        </w:tc>
      </w:tr>
      <w:tr w:rsidR="00225C4F">
        <w:trPr>
          <w:trHeight w:val="742"/>
        </w:trPr>
        <w:tc>
          <w:tcPr>
            <w:tcW w:w="1133" w:type="dxa"/>
            <w:shd w:val="clear" w:color="auto" w:fill="DEEBF6" w:themeFill="accent1" w:themeFillTint="32"/>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2021</w:t>
            </w:r>
            <w:r>
              <w:rPr>
                <w:rFonts w:asciiTheme="minorEastAsia" w:hAnsiTheme="minorEastAsia" w:cs="宋体" w:hint="eastAsia"/>
                <w:sz w:val="28"/>
                <w:szCs w:val="28"/>
              </w:rPr>
              <w:t>年</w:t>
            </w:r>
          </w:p>
        </w:tc>
        <w:tc>
          <w:tcPr>
            <w:tcW w:w="1247" w:type="dxa"/>
            <w:shd w:val="clear" w:color="auto" w:fill="DEEBF6" w:themeFill="accent1" w:themeFillTint="32"/>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64%</w:t>
            </w:r>
          </w:p>
        </w:tc>
        <w:tc>
          <w:tcPr>
            <w:tcW w:w="1210" w:type="dxa"/>
            <w:shd w:val="clear" w:color="auto" w:fill="DEEBF6" w:themeFill="accent1" w:themeFillTint="32"/>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6%</w:t>
            </w:r>
          </w:p>
        </w:tc>
        <w:tc>
          <w:tcPr>
            <w:tcW w:w="1284" w:type="dxa"/>
            <w:gridSpan w:val="2"/>
            <w:shd w:val="clear" w:color="auto" w:fill="DEEBF6" w:themeFill="accent1" w:themeFillTint="32"/>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2%</w:t>
            </w:r>
          </w:p>
        </w:tc>
        <w:tc>
          <w:tcPr>
            <w:tcW w:w="1123" w:type="dxa"/>
            <w:shd w:val="clear" w:color="auto" w:fill="DEEBF6" w:themeFill="accent1" w:themeFillTint="32"/>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9%</w:t>
            </w:r>
          </w:p>
        </w:tc>
        <w:tc>
          <w:tcPr>
            <w:tcW w:w="1123" w:type="dxa"/>
            <w:shd w:val="clear" w:color="auto" w:fill="DEEBF6" w:themeFill="accent1" w:themeFillTint="32"/>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5%</w:t>
            </w:r>
          </w:p>
        </w:tc>
        <w:tc>
          <w:tcPr>
            <w:tcW w:w="1124" w:type="dxa"/>
            <w:shd w:val="clear" w:color="auto" w:fill="DEEBF6" w:themeFill="accent1" w:themeFillTint="32"/>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14%</w:t>
            </w:r>
          </w:p>
        </w:tc>
      </w:tr>
      <w:tr w:rsidR="00225C4F">
        <w:trPr>
          <w:trHeight w:val="708"/>
        </w:trPr>
        <w:tc>
          <w:tcPr>
            <w:tcW w:w="1133" w:type="dxa"/>
            <w:shd w:val="clear" w:color="auto" w:fill="DEEBF6" w:themeFill="accent1" w:themeFillTint="32"/>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2022</w:t>
            </w:r>
            <w:r>
              <w:rPr>
                <w:rFonts w:asciiTheme="minorEastAsia" w:hAnsiTheme="minorEastAsia" w:cs="宋体" w:hint="eastAsia"/>
                <w:sz w:val="28"/>
                <w:szCs w:val="28"/>
              </w:rPr>
              <w:t>年</w:t>
            </w:r>
          </w:p>
        </w:tc>
        <w:tc>
          <w:tcPr>
            <w:tcW w:w="1247" w:type="dxa"/>
            <w:shd w:val="clear" w:color="auto" w:fill="DEEBF6" w:themeFill="accent1" w:themeFillTint="32"/>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71.1%</w:t>
            </w:r>
          </w:p>
        </w:tc>
        <w:tc>
          <w:tcPr>
            <w:tcW w:w="1210" w:type="dxa"/>
            <w:shd w:val="clear" w:color="auto" w:fill="DEEBF6" w:themeFill="accent1" w:themeFillTint="32"/>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4.6%</w:t>
            </w:r>
          </w:p>
        </w:tc>
        <w:tc>
          <w:tcPr>
            <w:tcW w:w="1284" w:type="dxa"/>
            <w:gridSpan w:val="2"/>
            <w:shd w:val="clear" w:color="auto" w:fill="DEEBF6" w:themeFill="accent1" w:themeFillTint="32"/>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1.5%</w:t>
            </w:r>
          </w:p>
        </w:tc>
        <w:tc>
          <w:tcPr>
            <w:tcW w:w="1123" w:type="dxa"/>
            <w:shd w:val="clear" w:color="auto" w:fill="DEEBF6" w:themeFill="accent1" w:themeFillTint="32"/>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7.9%</w:t>
            </w:r>
          </w:p>
        </w:tc>
        <w:tc>
          <w:tcPr>
            <w:tcW w:w="1123" w:type="dxa"/>
            <w:shd w:val="clear" w:color="auto" w:fill="DEEBF6" w:themeFill="accent1" w:themeFillTint="32"/>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4%</w:t>
            </w:r>
          </w:p>
        </w:tc>
        <w:tc>
          <w:tcPr>
            <w:tcW w:w="1124" w:type="dxa"/>
            <w:shd w:val="clear" w:color="auto" w:fill="DEEBF6" w:themeFill="accent1" w:themeFillTint="32"/>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10.9%</w:t>
            </w:r>
          </w:p>
        </w:tc>
      </w:tr>
    </w:tbl>
    <w:p w:rsidR="00225C4F" w:rsidRDefault="001935FC">
      <w:pPr>
        <w:spacing w:line="560" w:lineRule="exact"/>
        <w:ind w:firstLineChars="200" w:firstLine="560"/>
        <w:rPr>
          <w:rFonts w:asciiTheme="minorEastAsia" w:hAnsiTheme="minorEastAsia" w:cs="宋体"/>
          <w:sz w:val="28"/>
          <w:szCs w:val="28"/>
        </w:rPr>
      </w:pPr>
      <w:r>
        <w:rPr>
          <w:rFonts w:asciiTheme="minorEastAsia" w:hAnsiTheme="minorEastAsia" w:cs="宋体" w:hint="eastAsia"/>
          <w:sz w:val="28"/>
          <w:szCs w:val="28"/>
        </w:rPr>
        <w:t>从家事纠纷案件的结案方式上分析，东关法庭近两年审结的家事纠纷案件中，以调解或者准予撤诉方式结案的案件正在不断增长，在家事纠纷案件结案总数中所占比例正在逐年增长，这也反映出在当前在处理家事纠纷案件中办案法官更加注重以化解纠纷为目的调和当事人之间矛盾，争取做到定纷止争。（见表三）东关法庭自成为家事纠纷案件专业化审判团队以来，针对家事纠纷案件的特点，深入分析矛盾，真诚沟通解决问题，为家事纠纷的调解结案作出极大努力，同时也取得了良好的成绩。</w:t>
      </w:r>
    </w:p>
    <w:p w:rsidR="00225C4F" w:rsidRDefault="001935FC" w:rsidP="00F26C62">
      <w:pPr>
        <w:spacing w:line="560" w:lineRule="exact"/>
        <w:ind w:firstLineChars="196" w:firstLine="549"/>
        <w:rPr>
          <w:rFonts w:asciiTheme="minorEastAsia" w:hAnsiTheme="minorEastAsia" w:cs="宋体"/>
          <w:b/>
          <w:sz w:val="28"/>
          <w:szCs w:val="28"/>
        </w:rPr>
      </w:pPr>
      <w:r>
        <w:rPr>
          <w:rFonts w:asciiTheme="minorEastAsia" w:hAnsiTheme="minorEastAsia" w:cs="宋体" w:hint="eastAsia"/>
          <w:sz w:val="28"/>
          <w:szCs w:val="28"/>
        </w:rPr>
        <w:t>表三</w:t>
      </w:r>
      <w:r>
        <w:rPr>
          <w:rFonts w:asciiTheme="minorEastAsia" w:hAnsiTheme="minorEastAsia" w:cs="宋体" w:hint="eastAsia"/>
          <w:b/>
          <w:sz w:val="28"/>
          <w:szCs w:val="28"/>
        </w:rPr>
        <w:t>东关法庭</w:t>
      </w:r>
      <w:r>
        <w:rPr>
          <w:rFonts w:asciiTheme="minorEastAsia" w:hAnsiTheme="minorEastAsia" w:cs="宋体" w:hint="eastAsia"/>
          <w:b/>
          <w:sz w:val="28"/>
          <w:szCs w:val="28"/>
        </w:rPr>
        <w:t>2021</w:t>
      </w:r>
      <w:r>
        <w:rPr>
          <w:rFonts w:asciiTheme="minorEastAsia" w:hAnsiTheme="minorEastAsia" w:cs="宋体" w:hint="eastAsia"/>
          <w:b/>
          <w:sz w:val="28"/>
          <w:szCs w:val="28"/>
        </w:rPr>
        <w:t>年及</w:t>
      </w:r>
      <w:r>
        <w:rPr>
          <w:rFonts w:asciiTheme="minorEastAsia" w:hAnsiTheme="minorEastAsia" w:cs="宋体" w:hint="eastAsia"/>
          <w:b/>
          <w:sz w:val="28"/>
          <w:szCs w:val="28"/>
        </w:rPr>
        <w:t>2022</w:t>
      </w:r>
      <w:r>
        <w:rPr>
          <w:rFonts w:asciiTheme="minorEastAsia" w:hAnsiTheme="minorEastAsia" w:cs="宋体" w:hint="eastAsia"/>
          <w:b/>
          <w:sz w:val="28"/>
          <w:szCs w:val="28"/>
        </w:rPr>
        <w:t>年家事纠纷结案方式统计情况</w:t>
      </w:r>
    </w:p>
    <w:tbl>
      <w:tblPr>
        <w:tblStyle w:val="a7"/>
        <w:tblW w:w="8296" w:type="dxa"/>
        <w:tblInd w:w="226" w:type="dxa"/>
        <w:shd w:val="clear" w:color="auto" w:fill="DEEBF6" w:themeFill="accent1" w:themeFillTint="32"/>
        <w:tblLook w:val="04A0"/>
      </w:tblPr>
      <w:tblGrid>
        <w:gridCol w:w="852"/>
        <w:gridCol w:w="1346"/>
        <w:gridCol w:w="1142"/>
        <w:gridCol w:w="1200"/>
        <w:gridCol w:w="1134"/>
        <w:gridCol w:w="1234"/>
        <w:gridCol w:w="1388"/>
      </w:tblGrid>
      <w:tr w:rsidR="00225C4F">
        <w:trPr>
          <w:trHeight w:val="696"/>
        </w:trPr>
        <w:tc>
          <w:tcPr>
            <w:tcW w:w="852" w:type="dxa"/>
            <w:shd w:val="clear" w:color="auto" w:fill="8496B0" w:themeFill="text2" w:themeFillTint="99"/>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结案</w:t>
            </w:r>
            <w:r>
              <w:rPr>
                <w:rFonts w:asciiTheme="minorEastAsia" w:hAnsiTheme="minorEastAsia" w:cs="宋体"/>
                <w:sz w:val="28"/>
                <w:szCs w:val="28"/>
              </w:rPr>
              <w:t>方式</w:t>
            </w:r>
          </w:p>
        </w:tc>
        <w:tc>
          <w:tcPr>
            <w:tcW w:w="1346" w:type="dxa"/>
            <w:shd w:val="clear" w:color="auto" w:fill="8496B0" w:themeFill="text2" w:themeFillTint="99"/>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判决</w:t>
            </w:r>
          </w:p>
        </w:tc>
        <w:tc>
          <w:tcPr>
            <w:tcW w:w="1142" w:type="dxa"/>
            <w:shd w:val="clear" w:color="auto" w:fill="8496B0" w:themeFill="text2" w:themeFillTint="99"/>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驳回起诉</w:t>
            </w:r>
          </w:p>
        </w:tc>
        <w:tc>
          <w:tcPr>
            <w:tcW w:w="1200" w:type="dxa"/>
            <w:shd w:val="clear" w:color="auto" w:fill="8496B0" w:themeFill="text2" w:themeFillTint="99"/>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裁定移送其他法院</w:t>
            </w:r>
          </w:p>
        </w:tc>
        <w:tc>
          <w:tcPr>
            <w:tcW w:w="1134" w:type="dxa"/>
            <w:shd w:val="clear" w:color="auto" w:fill="8496B0" w:themeFill="text2" w:themeFillTint="99"/>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按撤诉处理</w:t>
            </w:r>
          </w:p>
        </w:tc>
        <w:tc>
          <w:tcPr>
            <w:tcW w:w="1234" w:type="dxa"/>
            <w:shd w:val="clear" w:color="auto" w:fill="8496B0" w:themeFill="text2" w:themeFillTint="99"/>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调解</w:t>
            </w:r>
          </w:p>
        </w:tc>
        <w:tc>
          <w:tcPr>
            <w:tcW w:w="1388" w:type="dxa"/>
            <w:shd w:val="clear" w:color="auto" w:fill="8496B0" w:themeFill="text2" w:themeFillTint="99"/>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准予</w:t>
            </w:r>
            <w:r>
              <w:rPr>
                <w:rFonts w:asciiTheme="minorEastAsia" w:hAnsiTheme="minorEastAsia" w:cs="宋体"/>
                <w:sz w:val="28"/>
                <w:szCs w:val="28"/>
              </w:rPr>
              <w:t>撤诉</w:t>
            </w:r>
          </w:p>
        </w:tc>
      </w:tr>
      <w:tr w:rsidR="00225C4F">
        <w:trPr>
          <w:trHeight w:val="742"/>
        </w:trPr>
        <w:tc>
          <w:tcPr>
            <w:tcW w:w="852" w:type="dxa"/>
            <w:shd w:val="clear" w:color="auto" w:fill="DEEBF6" w:themeFill="accent1" w:themeFillTint="32"/>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lastRenderedPageBreak/>
              <w:t>2021</w:t>
            </w:r>
            <w:r>
              <w:rPr>
                <w:rFonts w:asciiTheme="minorEastAsia" w:hAnsiTheme="minorEastAsia" w:cs="宋体" w:hint="eastAsia"/>
                <w:sz w:val="28"/>
                <w:szCs w:val="28"/>
              </w:rPr>
              <w:t>年</w:t>
            </w:r>
          </w:p>
        </w:tc>
        <w:tc>
          <w:tcPr>
            <w:tcW w:w="1346" w:type="dxa"/>
            <w:shd w:val="clear" w:color="auto" w:fill="DEEBF6" w:themeFill="accent1" w:themeFillTint="32"/>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38.2%</w:t>
            </w:r>
          </w:p>
        </w:tc>
        <w:tc>
          <w:tcPr>
            <w:tcW w:w="1142" w:type="dxa"/>
            <w:shd w:val="clear" w:color="auto" w:fill="DEEBF6" w:themeFill="accent1" w:themeFillTint="32"/>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11.3%</w:t>
            </w:r>
          </w:p>
        </w:tc>
        <w:tc>
          <w:tcPr>
            <w:tcW w:w="1200" w:type="dxa"/>
            <w:shd w:val="clear" w:color="auto" w:fill="DEEBF6" w:themeFill="accent1" w:themeFillTint="32"/>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3%</w:t>
            </w:r>
          </w:p>
        </w:tc>
        <w:tc>
          <w:tcPr>
            <w:tcW w:w="1134" w:type="dxa"/>
            <w:shd w:val="clear" w:color="auto" w:fill="DEEBF6" w:themeFill="accent1" w:themeFillTint="32"/>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8.3%</w:t>
            </w:r>
          </w:p>
        </w:tc>
        <w:tc>
          <w:tcPr>
            <w:tcW w:w="1234" w:type="dxa"/>
            <w:shd w:val="clear" w:color="auto" w:fill="DEEBF6" w:themeFill="accent1" w:themeFillTint="32"/>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23.2%</w:t>
            </w:r>
          </w:p>
        </w:tc>
        <w:tc>
          <w:tcPr>
            <w:tcW w:w="1388" w:type="dxa"/>
            <w:shd w:val="clear" w:color="auto" w:fill="DEEBF6" w:themeFill="accent1" w:themeFillTint="32"/>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16%</w:t>
            </w:r>
          </w:p>
        </w:tc>
      </w:tr>
      <w:tr w:rsidR="00225C4F">
        <w:trPr>
          <w:trHeight w:val="708"/>
        </w:trPr>
        <w:tc>
          <w:tcPr>
            <w:tcW w:w="852" w:type="dxa"/>
            <w:shd w:val="clear" w:color="auto" w:fill="DEEBF6" w:themeFill="accent1" w:themeFillTint="32"/>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2022</w:t>
            </w:r>
            <w:r>
              <w:rPr>
                <w:rFonts w:asciiTheme="minorEastAsia" w:hAnsiTheme="minorEastAsia" w:cs="宋体" w:hint="eastAsia"/>
                <w:sz w:val="28"/>
                <w:szCs w:val="28"/>
              </w:rPr>
              <w:t>年</w:t>
            </w:r>
          </w:p>
        </w:tc>
        <w:tc>
          <w:tcPr>
            <w:tcW w:w="1346" w:type="dxa"/>
            <w:shd w:val="clear" w:color="auto" w:fill="DEEBF6" w:themeFill="accent1" w:themeFillTint="32"/>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37.3%</w:t>
            </w:r>
          </w:p>
        </w:tc>
        <w:tc>
          <w:tcPr>
            <w:tcW w:w="1142" w:type="dxa"/>
            <w:shd w:val="clear" w:color="auto" w:fill="DEEBF6" w:themeFill="accent1" w:themeFillTint="32"/>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6.3%</w:t>
            </w:r>
          </w:p>
        </w:tc>
        <w:tc>
          <w:tcPr>
            <w:tcW w:w="1200" w:type="dxa"/>
            <w:shd w:val="clear" w:color="auto" w:fill="DEEBF6" w:themeFill="accent1" w:themeFillTint="32"/>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1.5%</w:t>
            </w:r>
          </w:p>
        </w:tc>
        <w:tc>
          <w:tcPr>
            <w:tcW w:w="1134" w:type="dxa"/>
            <w:shd w:val="clear" w:color="auto" w:fill="DEEBF6" w:themeFill="accent1" w:themeFillTint="32"/>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12.3%</w:t>
            </w:r>
          </w:p>
        </w:tc>
        <w:tc>
          <w:tcPr>
            <w:tcW w:w="1234" w:type="dxa"/>
            <w:shd w:val="clear" w:color="auto" w:fill="DEEBF6" w:themeFill="accent1" w:themeFillTint="32"/>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30%</w:t>
            </w:r>
          </w:p>
        </w:tc>
        <w:tc>
          <w:tcPr>
            <w:tcW w:w="1388" w:type="dxa"/>
            <w:shd w:val="clear" w:color="auto" w:fill="DEEBF6" w:themeFill="accent1" w:themeFillTint="32"/>
            <w:vAlign w:val="center"/>
          </w:tcPr>
          <w:p w:rsidR="00225C4F" w:rsidRDefault="001935FC">
            <w:pPr>
              <w:spacing w:line="560" w:lineRule="exact"/>
              <w:jc w:val="center"/>
              <w:rPr>
                <w:rFonts w:asciiTheme="minorEastAsia" w:hAnsiTheme="minorEastAsia" w:cs="宋体"/>
                <w:sz w:val="28"/>
                <w:szCs w:val="28"/>
              </w:rPr>
            </w:pPr>
            <w:r>
              <w:rPr>
                <w:rFonts w:asciiTheme="minorEastAsia" w:hAnsiTheme="minorEastAsia" w:cs="宋体" w:hint="eastAsia"/>
                <w:sz w:val="28"/>
                <w:szCs w:val="28"/>
              </w:rPr>
              <w:t>12.8%</w:t>
            </w:r>
          </w:p>
        </w:tc>
      </w:tr>
    </w:tbl>
    <w:p w:rsidR="00225C4F" w:rsidRDefault="001935FC">
      <w:pPr>
        <w:numPr>
          <w:ilvl w:val="0"/>
          <w:numId w:val="1"/>
        </w:numPr>
        <w:spacing w:line="560" w:lineRule="exact"/>
        <w:ind w:firstLineChars="200" w:firstLine="562"/>
        <w:rPr>
          <w:rFonts w:asciiTheme="minorEastAsia" w:hAnsiTheme="minorEastAsia" w:cs="宋体"/>
          <w:b/>
          <w:sz w:val="28"/>
          <w:szCs w:val="28"/>
        </w:rPr>
      </w:pPr>
      <w:r>
        <w:rPr>
          <w:rFonts w:asciiTheme="minorEastAsia" w:hAnsiTheme="minorEastAsia" w:cs="宋体" w:hint="eastAsia"/>
          <w:b/>
          <w:sz w:val="28"/>
          <w:szCs w:val="28"/>
        </w:rPr>
        <w:t>家事案件的特点及成因分析</w:t>
      </w:r>
    </w:p>
    <w:p w:rsidR="00225C4F" w:rsidRDefault="001935FC">
      <w:pPr>
        <w:spacing w:line="560" w:lineRule="exact"/>
        <w:ind w:firstLineChars="200" w:firstLine="560"/>
        <w:rPr>
          <w:rFonts w:asciiTheme="minorEastAsia" w:hAnsiTheme="minorEastAsia" w:cs="宋体"/>
          <w:sz w:val="28"/>
          <w:szCs w:val="28"/>
        </w:rPr>
      </w:pPr>
      <w:r>
        <w:rPr>
          <w:rFonts w:asciiTheme="minorEastAsia" w:hAnsiTheme="minorEastAsia" w:cs="宋体" w:hint="eastAsia"/>
          <w:sz w:val="28"/>
          <w:szCs w:val="28"/>
        </w:rPr>
        <w:t>（一）离婚纠纷案件</w:t>
      </w:r>
    </w:p>
    <w:p w:rsidR="00225C4F" w:rsidRDefault="001935FC">
      <w:pPr>
        <w:spacing w:line="560" w:lineRule="exact"/>
        <w:ind w:firstLineChars="200" w:firstLine="560"/>
        <w:rPr>
          <w:rFonts w:asciiTheme="minorEastAsia" w:hAnsiTheme="minorEastAsia" w:cs="宋体"/>
          <w:sz w:val="28"/>
          <w:szCs w:val="28"/>
        </w:rPr>
      </w:pPr>
      <w:r>
        <w:rPr>
          <w:rFonts w:asciiTheme="minorEastAsia" w:hAnsiTheme="minorEastAsia" w:cs="宋体" w:hint="eastAsia"/>
          <w:sz w:val="28"/>
          <w:szCs w:val="28"/>
        </w:rPr>
        <w:t>1</w:t>
      </w:r>
      <w:r>
        <w:rPr>
          <w:rFonts w:asciiTheme="minorEastAsia" w:hAnsiTheme="minorEastAsia" w:cs="宋体" w:hint="eastAsia"/>
          <w:sz w:val="28"/>
          <w:szCs w:val="28"/>
        </w:rPr>
        <w:t>、女性提起离婚诉讼比例较高</w:t>
      </w:r>
    </w:p>
    <w:p w:rsidR="00225C4F" w:rsidRDefault="001935FC">
      <w:pPr>
        <w:spacing w:line="560" w:lineRule="exact"/>
        <w:ind w:firstLineChars="200" w:firstLine="560"/>
        <w:rPr>
          <w:rFonts w:asciiTheme="minorEastAsia" w:hAnsiTheme="minorEastAsia" w:cs="宋体"/>
          <w:sz w:val="28"/>
          <w:szCs w:val="28"/>
        </w:rPr>
      </w:pPr>
      <w:r>
        <w:rPr>
          <w:rFonts w:asciiTheme="minorEastAsia" w:hAnsiTheme="minorEastAsia" w:cs="宋体" w:hint="eastAsia"/>
          <w:sz w:val="28"/>
          <w:szCs w:val="28"/>
        </w:rPr>
        <w:t>经过对东关法庭近两年受理的离婚案件进行数据分析，女性提起离婚诉讼的案件占所有离婚案件总数的</w:t>
      </w:r>
      <w:r>
        <w:rPr>
          <w:rFonts w:asciiTheme="minorEastAsia" w:hAnsiTheme="minorEastAsia" w:cs="宋体" w:hint="eastAsia"/>
          <w:sz w:val="28"/>
          <w:szCs w:val="28"/>
        </w:rPr>
        <w:t>65%</w:t>
      </w:r>
      <w:r>
        <w:rPr>
          <w:rFonts w:asciiTheme="minorEastAsia" w:hAnsiTheme="minorEastAsia" w:cs="宋体" w:hint="eastAsia"/>
          <w:sz w:val="28"/>
          <w:szCs w:val="28"/>
        </w:rPr>
        <w:t>。女性提起离婚诉讼的比例较高，究其原因，一方面得益于当前社会发展和进步，新时代下的女性解放思想，敢于直面失败的婚姻并积极寻求自由；另一方面也得益于《反家暴法》等一系列法律法规相继出台，使得在家庭中处于弱势地位的女性能够依靠法律武器来保障自己的合法权益。经过对女性提起离婚诉讼的案件进行分析发现，女性提出离婚的原因主要有性格不合、家庭琐事导致感情破裂、出轨、家暴等。其中因家庭琐事引起的感情不和，其所占比例远远超过出轨</w:t>
      </w:r>
      <w:r>
        <w:rPr>
          <w:rFonts w:asciiTheme="minorEastAsia" w:hAnsiTheme="minorEastAsia" w:cs="宋体" w:hint="eastAsia"/>
          <w:sz w:val="28"/>
          <w:szCs w:val="28"/>
        </w:rPr>
        <w:t>、家暴等原因提起的离婚。</w:t>
      </w:r>
    </w:p>
    <w:p w:rsidR="00225C4F" w:rsidRDefault="001935FC">
      <w:pPr>
        <w:spacing w:line="560" w:lineRule="exact"/>
        <w:ind w:firstLineChars="200" w:firstLine="560"/>
        <w:rPr>
          <w:rFonts w:asciiTheme="minorEastAsia" w:hAnsiTheme="minorEastAsia" w:cs="宋体"/>
          <w:sz w:val="28"/>
          <w:szCs w:val="28"/>
        </w:rPr>
      </w:pPr>
      <w:r>
        <w:rPr>
          <w:rFonts w:asciiTheme="minorEastAsia" w:hAnsiTheme="minorEastAsia" w:cs="宋体" w:hint="eastAsia"/>
          <w:sz w:val="28"/>
          <w:szCs w:val="28"/>
        </w:rPr>
        <w:t>2</w:t>
      </w:r>
      <w:r>
        <w:rPr>
          <w:rFonts w:asciiTheme="minorEastAsia" w:hAnsiTheme="minorEastAsia" w:cs="宋体" w:hint="eastAsia"/>
          <w:sz w:val="28"/>
          <w:szCs w:val="28"/>
        </w:rPr>
        <w:t>、存在未办理结婚登记的情况</w:t>
      </w:r>
    </w:p>
    <w:p w:rsidR="00225C4F" w:rsidRDefault="001935FC">
      <w:pPr>
        <w:spacing w:line="560" w:lineRule="exact"/>
        <w:ind w:firstLineChars="200" w:firstLine="560"/>
        <w:rPr>
          <w:rFonts w:asciiTheme="minorEastAsia" w:hAnsiTheme="minorEastAsia" w:cs="宋体"/>
          <w:sz w:val="28"/>
          <w:szCs w:val="28"/>
        </w:rPr>
      </w:pPr>
      <w:r>
        <w:rPr>
          <w:rFonts w:asciiTheme="minorEastAsia" w:hAnsiTheme="minorEastAsia" w:cs="宋体" w:hint="eastAsia"/>
          <w:sz w:val="28"/>
          <w:szCs w:val="28"/>
        </w:rPr>
        <w:t>通过对东关法庭近两年审理的家事案件进行综合分析，东关法庭所受理并审结的婚姻家庭纠纷案件中存在未办理结婚登记的情况。我国实行婚姻登记制度，未办理结婚登记的男女双方以夫妻名义共同生活属于同居关系，男女双方的同居关系不同于合法登记结婚的婚姻关系，其存在较大风险，且其所引发的财产分割、子女抚养等一系列问题审理难度较大、矛盾较为尖锐。甚至出现抚养费纠纷中孩子的父母对于其是否办理结婚登记的情况双方各执一词、说法不一的现象。分</w:t>
      </w:r>
      <w:r>
        <w:rPr>
          <w:rFonts w:asciiTheme="minorEastAsia" w:hAnsiTheme="minorEastAsia" w:cs="宋体" w:hint="eastAsia"/>
          <w:sz w:val="28"/>
          <w:szCs w:val="28"/>
        </w:rPr>
        <w:lastRenderedPageBreak/>
        <w:t>析当前仍旧存在未办理结婚登记情况的原因，</w:t>
      </w:r>
      <w:r>
        <w:rPr>
          <w:rFonts w:asciiTheme="minorEastAsia" w:hAnsiTheme="minorEastAsia" w:cs="宋体" w:hint="eastAsia"/>
          <w:sz w:val="28"/>
          <w:szCs w:val="28"/>
        </w:rPr>
        <w:t>是目前法律宣传尚不到位、部分当事人法律意识淡薄、思想观念陈旧。</w:t>
      </w:r>
    </w:p>
    <w:p w:rsidR="00225C4F" w:rsidRDefault="001935FC">
      <w:pPr>
        <w:spacing w:line="560" w:lineRule="exact"/>
        <w:ind w:firstLineChars="200" w:firstLine="560"/>
        <w:rPr>
          <w:rFonts w:asciiTheme="minorEastAsia" w:hAnsiTheme="minorEastAsia" w:cs="宋体"/>
          <w:sz w:val="28"/>
          <w:szCs w:val="28"/>
        </w:rPr>
      </w:pPr>
      <w:r>
        <w:rPr>
          <w:rFonts w:asciiTheme="minorEastAsia" w:hAnsiTheme="minorEastAsia" w:cs="宋体" w:hint="eastAsia"/>
          <w:sz w:val="28"/>
          <w:szCs w:val="28"/>
        </w:rPr>
        <w:t>3</w:t>
      </w:r>
      <w:r>
        <w:rPr>
          <w:rFonts w:asciiTheme="minorEastAsia" w:hAnsiTheme="minorEastAsia" w:cs="宋体" w:hint="eastAsia"/>
          <w:sz w:val="28"/>
          <w:szCs w:val="28"/>
        </w:rPr>
        <w:t>、离婚后财产纠纷争议较大</w:t>
      </w:r>
    </w:p>
    <w:p w:rsidR="00225C4F" w:rsidRDefault="001935FC">
      <w:pPr>
        <w:spacing w:line="560" w:lineRule="exact"/>
        <w:ind w:firstLineChars="200" w:firstLine="560"/>
        <w:rPr>
          <w:rFonts w:asciiTheme="minorEastAsia" w:hAnsiTheme="minorEastAsia" w:cs="宋体"/>
          <w:sz w:val="28"/>
          <w:szCs w:val="28"/>
        </w:rPr>
      </w:pPr>
      <w:r>
        <w:rPr>
          <w:rFonts w:asciiTheme="minorEastAsia" w:hAnsiTheme="minorEastAsia" w:cs="宋体" w:hint="eastAsia"/>
          <w:sz w:val="28"/>
          <w:szCs w:val="28"/>
        </w:rPr>
        <w:t>当前离婚后财产纠纷案件虽然数量不多，但是存在的争议较大。离婚后财产纠纷不仅包括双方对离婚协议的履行存在争议，还包括在离婚时共同财产不具备分割条件而未予分割，甚至包括一方主张另一方存在隐瞒、转移财产等情形。分析其原因主要是夫妻双方在离婚时急于签订离婚协议，对于财产分割未考虑成熟，导致事后反悔；甚至为了尽快办理离婚登记，双方故意隐匿共同财产，不予分割。当前所审理的离婚后财产纠纷中关于房产、车辆的争议最多，其中无证房产的分</w:t>
      </w:r>
      <w:r>
        <w:rPr>
          <w:rFonts w:asciiTheme="minorEastAsia" w:hAnsiTheme="minorEastAsia" w:cs="宋体" w:hint="eastAsia"/>
          <w:sz w:val="28"/>
          <w:szCs w:val="28"/>
        </w:rPr>
        <w:t>割问题、农村宅基地上夫妻共同建房的拆迁安置费的分割问题是当前审理中的难题。</w:t>
      </w:r>
    </w:p>
    <w:p w:rsidR="00225C4F" w:rsidRDefault="001935FC">
      <w:pPr>
        <w:spacing w:line="560" w:lineRule="exact"/>
        <w:ind w:firstLineChars="200" w:firstLine="560"/>
        <w:rPr>
          <w:rFonts w:asciiTheme="minorEastAsia" w:hAnsiTheme="minorEastAsia" w:cs="宋体"/>
          <w:sz w:val="28"/>
          <w:szCs w:val="28"/>
        </w:rPr>
      </w:pPr>
      <w:r>
        <w:rPr>
          <w:rFonts w:asciiTheme="minorEastAsia" w:hAnsiTheme="minorEastAsia" w:cs="宋体" w:hint="eastAsia"/>
          <w:sz w:val="28"/>
          <w:szCs w:val="28"/>
        </w:rPr>
        <w:t>4</w:t>
      </w:r>
      <w:r>
        <w:rPr>
          <w:rFonts w:asciiTheme="minorEastAsia" w:hAnsiTheme="minorEastAsia" w:cs="宋体" w:hint="eastAsia"/>
          <w:sz w:val="28"/>
          <w:szCs w:val="28"/>
        </w:rPr>
        <w:t>、</w:t>
      </w:r>
      <w:r>
        <w:rPr>
          <w:rFonts w:asciiTheme="minorEastAsia" w:hAnsiTheme="minorEastAsia" w:cs="宋体" w:hint="eastAsia"/>
          <w:sz w:val="28"/>
          <w:szCs w:val="28"/>
        </w:rPr>
        <w:t>90</w:t>
      </w:r>
      <w:r>
        <w:rPr>
          <w:rFonts w:asciiTheme="minorEastAsia" w:hAnsiTheme="minorEastAsia" w:cs="宋体" w:hint="eastAsia"/>
          <w:sz w:val="28"/>
          <w:szCs w:val="28"/>
        </w:rPr>
        <w:t>后离婚数量不断增加</w:t>
      </w:r>
    </w:p>
    <w:p w:rsidR="00225C4F" w:rsidRDefault="001935FC">
      <w:pPr>
        <w:spacing w:line="560" w:lineRule="exact"/>
        <w:ind w:firstLineChars="200" w:firstLine="560"/>
        <w:rPr>
          <w:rFonts w:asciiTheme="minorEastAsia" w:hAnsiTheme="minorEastAsia" w:cs="宋体"/>
          <w:sz w:val="28"/>
          <w:szCs w:val="28"/>
        </w:rPr>
      </w:pPr>
      <w:r>
        <w:rPr>
          <w:rFonts w:asciiTheme="minorEastAsia" w:hAnsiTheme="minorEastAsia" w:cs="宋体" w:hint="eastAsia"/>
          <w:sz w:val="28"/>
          <w:szCs w:val="28"/>
        </w:rPr>
        <w:t>在离婚案件中，通过对离婚案件当事人年龄阶段的统计分析，当前离婚案件中</w:t>
      </w:r>
      <w:r>
        <w:rPr>
          <w:rFonts w:asciiTheme="minorEastAsia" w:hAnsiTheme="minorEastAsia" w:cs="宋体" w:hint="eastAsia"/>
          <w:sz w:val="28"/>
          <w:szCs w:val="28"/>
        </w:rPr>
        <w:t>80</w:t>
      </w:r>
      <w:r>
        <w:rPr>
          <w:rFonts w:asciiTheme="minorEastAsia" w:hAnsiTheme="minorEastAsia" w:cs="宋体" w:hint="eastAsia"/>
          <w:sz w:val="28"/>
          <w:szCs w:val="28"/>
        </w:rPr>
        <w:t>后仍占据最大比例，但其中</w:t>
      </w:r>
      <w:r>
        <w:rPr>
          <w:rFonts w:asciiTheme="minorEastAsia" w:hAnsiTheme="minorEastAsia" w:cs="宋体" w:hint="eastAsia"/>
          <w:sz w:val="28"/>
          <w:szCs w:val="28"/>
        </w:rPr>
        <w:t>90</w:t>
      </w:r>
      <w:r>
        <w:rPr>
          <w:rFonts w:asciiTheme="minorEastAsia" w:hAnsiTheme="minorEastAsia" w:cs="宋体" w:hint="eastAsia"/>
          <w:sz w:val="28"/>
          <w:szCs w:val="28"/>
        </w:rPr>
        <w:t>后也正在逐渐成为离婚纠纷的主力军，其特点主要是婚姻关系存续时间较短，离婚数量日益增多。分析其原因，我们会发现，当前</w:t>
      </w:r>
      <w:r>
        <w:rPr>
          <w:rFonts w:asciiTheme="minorEastAsia" w:hAnsiTheme="minorEastAsia" w:cs="宋体" w:hint="eastAsia"/>
          <w:sz w:val="28"/>
          <w:szCs w:val="28"/>
        </w:rPr>
        <w:t>90</w:t>
      </w:r>
      <w:r>
        <w:rPr>
          <w:rFonts w:asciiTheme="minorEastAsia" w:hAnsiTheme="minorEastAsia" w:cs="宋体" w:hint="eastAsia"/>
          <w:sz w:val="28"/>
          <w:szCs w:val="28"/>
        </w:rPr>
        <w:t>后离婚率较高主要是当前年轻人结婚较为感性，双方之间没有足够的了解就冲动结婚，这就极易导致婚后出现矛盾问题，且年轻人又缺乏妥善处理问题的能力，对于婚姻中的问题，双方不能互相忍让，互相谅解，这也就构成了当前社会年轻人群体中流行的“快餐式婚姻”。</w:t>
      </w:r>
    </w:p>
    <w:p w:rsidR="00225C4F" w:rsidRDefault="001935FC">
      <w:pPr>
        <w:spacing w:line="560" w:lineRule="exact"/>
        <w:ind w:firstLineChars="200" w:firstLine="560"/>
        <w:rPr>
          <w:rFonts w:asciiTheme="minorEastAsia" w:hAnsiTheme="minorEastAsia" w:cs="宋体"/>
          <w:sz w:val="28"/>
          <w:szCs w:val="28"/>
        </w:rPr>
      </w:pPr>
      <w:r>
        <w:rPr>
          <w:rFonts w:asciiTheme="minorEastAsia" w:hAnsiTheme="minorEastAsia" w:cs="宋体" w:hint="eastAsia"/>
          <w:sz w:val="28"/>
          <w:szCs w:val="28"/>
        </w:rPr>
        <w:t>（二）抚养纠纷案件</w:t>
      </w:r>
    </w:p>
    <w:p w:rsidR="00225C4F" w:rsidRDefault="001935FC">
      <w:pPr>
        <w:spacing w:line="560" w:lineRule="exact"/>
        <w:ind w:firstLineChars="200" w:firstLine="560"/>
        <w:rPr>
          <w:rFonts w:asciiTheme="minorEastAsia" w:hAnsiTheme="minorEastAsia" w:cs="宋体"/>
          <w:sz w:val="28"/>
          <w:szCs w:val="28"/>
        </w:rPr>
      </w:pPr>
      <w:r>
        <w:rPr>
          <w:rFonts w:asciiTheme="minorEastAsia" w:hAnsiTheme="minorEastAsia" w:cs="宋体" w:hint="eastAsia"/>
          <w:sz w:val="28"/>
          <w:szCs w:val="28"/>
        </w:rPr>
        <w:t>1</w:t>
      </w:r>
      <w:r>
        <w:rPr>
          <w:rFonts w:asciiTheme="minorEastAsia" w:hAnsiTheme="minorEastAsia" w:cs="宋体" w:hint="eastAsia"/>
          <w:sz w:val="28"/>
          <w:szCs w:val="28"/>
        </w:rPr>
        <w:t>、父母双方均主张抚养权</w:t>
      </w:r>
    </w:p>
    <w:p w:rsidR="00225C4F" w:rsidRDefault="001935FC">
      <w:pPr>
        <w:spacing w:line="560" w:lineRule="exact"/>
        <w:rPr>
          <w:rFonts w:asciiTheme="minorEastAsia" w:hAnsiTheme="minorEastAsia" w:cs="宋体"/>
          <w:sz w:val="28"/>
          <w:szCs w:val="28"/>
        </w:rPr>
      </w:pPr>
      <w:r>
        <w:rPr>
          <w:rFonts w:asciiTheme="minorEastAsia" w:hAnsiTheme="minorEastAsia" w:cs="宋体" w:hint="eastAsia"/>
          <w:sz w:val="28"/>
          <w:szCs w:val="28"/>
        </w:rPr>
        <w:t xml:space="preserve">   </w:t>
      </w:r>
      <w:r>
        <w:rPr>
          <w:rFonts w:asciiTheme="minorEastAsia" w:hAnsiTheme="minorEastAsia" w:cs="宋体" w:hint="eastAsia"/>
          <w:sz w:val="28"/>
          <w:szCs w:val="28"/>
        </w:rPr>
        <w:t xml:space="preserve"> </w:t>
      </w:r>
      <w:r>
        <w:rPr>
          <w:rFonts w:asciiTheme="minorEastAsia" w:hAnsiTheme="minorEastAsia" w:cs="宋体" w:hint="eastAsia"/>
          <w:sz w:val="28"/>
          <w:szCs w:val="28"/>
        </w:rPr>
        <w:t>在当前的离婚诉讼中，男女双方对婚生子女抚养权的争议较大，</w:t>
      </w:r>
      <w:r>
        <w:rPr>
          <w:rFonts w:asciiTheme="minorEastAsia" w:hAnsiTheme="minorEastAsia" w:cs="宋体" w:hint="eastAsia"/>
          <w:sz w:val="28"/>
          <w:szCs w:val="28"/>
        </w:rPr>
        <w:lastRenderedPageBreak/>
        <w:t>且现在已经成为离婚案件中的重点审理内容，这也是导致一些离婚案件难以调解的症结所在。未成年子女抚养权的归属问题，作为法院审理的重点问题，需要综合考虑未成年人身心健康、与父母共同生活时间、父母的经济状况等因素予以认定。另根据对东关法庭所审理的抚养案件进行梳理，针对父母争夺子女抚养权的问题所引发的变更抚养关系纠纷也应当予以重视，此类案件双方当事人情绪较为抵触，容易爆发冲突，且调解难度较大，甚至还会出现法院依法判决后一方采取非法手段抢夺未成年子女的情况，这也</w:t>
      </w:r>
      <w:r>
        <w:rPr>
          <w:rFonts w:asciiTheme="minorEastAsia" w:hAnsiTheme="minorEastAsia" w:cs="宋体" w:hint="eastAsia"/>
          <w:sz w:val="28"/>
          <w:szCs w:val="28"/>
        </w:rPr>
        <w:t>给法院的审判工作甚至执行工作带来了一定的困难。例如，</w:t>
      </w:r>
      <w:r>
        <w:rPr>
          <w:rFonts w:asciiTheme="minorEastAsia" w:hAnsiTheme="minorEastAsia" w:cs="宋体" w:hint="eastAsia"/>
          <w:sz w:val="28"/>
          <w:szCs w:val="28"/>
        </w:rPr>
        <w:t>2021</w:t>
      </w:r>
      <w:r>
        <w:rPr>
          <w:rFonts w:asciiTheme="minorEastAsia" w:hAnsiTheme="minorEastAsia" w:cs="宋体" w:hint="eastAsia"/>
          <w:sz w:val="28"/>
          <w:szCs w:val="28"/>
        </w:rPr>
        <w:t>年东关法庭审理的一起变更抚养关系案件中，在</w:t>
      </w:r>
      <w:r>
        <w:rPr>
          <w:rFonts w:asciiTheme="minorEastAsia" w:hAnsiTheme="minorEastAsia" w:cs="宋体" w:hint="eastAsia"/>
          <w:sz w:val="28"/>
          <w:szCs w:val="28"/>
        </w:rPr>
        <w:t>2018</w:t>
      </w:r>
      <w:r>
        <w:rPr>
          <w:rFonts w:asciiTheme="minorEastAsia" w:hAnsiTheme="minorEastAsia" w:cs="宋体" w:hint="eastAsia"/>
          <w:sz w:val="28"/>
          <w:szCs w:val="28"/>
        </w:rPr>
        <w:t>年当事人双方离婚时，法院判决婚生子跟随女方生活，但实际该子女一直跟随男方共同生活。判决生效后，女方申请法院强制执行，在执行中双方达成和解，抚养权归女方，孩子继续随男方生活。</w:t>
      </w:r>
      <w:r>
        <w:rPr>
          <w:rFonts w:asciiTheme="minorEastAsia" w:hAnsiTheme="minorEastAsia" w:cs="宋体" w:hint="eastAsia"/>
          <w:sz w:val="28"/>
          <w:szCs w:val="28"/>
        </w:rPr>
        <w:t>2021</w:t>
      </w:r>
      <w:r>
        <w:rPr>
          <w:rFonts w:asciiTheme="minorEastAsia" w:hAnsiTheme="minorEastAsia" w:cs="宋体" w:hint="eastAsia"/>
          <w:sz w:val="28"/>
          <w:szCs w:val="28"/>
        </w:rPr>
        <w:t>年双方因子女打疫苗使用户口本时双方沟通出现矛盾冲突，因此男方起诉请求变更抚养关系。诸如此类的案件均反映出在一些争夺抚养权案件中双方当事人对于子女抚养权的争夺仅仅是一种主权的宣誓和情绪的宣泄，并未实际考虑到子女的健康生活成长</w:t>
      </w:r>
      <w:r>
        <w:rPr>
          <w:rFonts w:asciiTheme="minorEastAsia" w:hAnsiTheme="minorEastAsia" w:cs="宋体" w:hint="eastAsia"/>
          <w:sz w:val="28"/>
          <w:szCs w:val="28"/>
        </w:rPr>
        <w:t>，这也是此类案件调解、审理难度大的原因所在。</w:t>
      </w:r>
    </w:p>
    <w:p w:rsidR="00225C4F" w:rsidRDefault="001935FC">
      <w:pPr>
        <w:spacing w:line="560" w:lineRule="exact"/>
        <w:ind w:firstLineChars="200" w:firstLine="560"/>
        <w:rPr>
          <w:rFonts w:asciiTheme="minorEastAsia" w:hAnsiTheme="minorEastAsia" w:cs="宋体"/>
          <w:sz w:val="28"/>
          <w:szCs w:val="28"/>
        </w:rPr>
      </w:pPr>
      <w:r>
        <w:rPr>
          <w:rFonts w:asciiTheme="minorEastAsia" w:hAnsiTheme="minorEastAsia" w:cs="宋体" w:hint="eastAsia"/>
          <w:sz w:val="28"/>
          <w:szCs w:val="28"/>
        </w:rPr>
        <w:t>2</w:t>
      </w:r>
      <w:r>
        <w:rPr>
          <w:rFonts w:asciiTheme="minorEastAsia" w:hAnsiTheme="minorEastAsia" w:cs="宋体" w:hint="eastAsia"/>
          <w:sz w:val="28"/>
          <w:szCs w:val="28"/>
        </w:rPr>
        <w:t>、不依约支付抚养费案件增多</w:t>
      </w:r>
    </w:p>
    <w:p w:rsidR="00225C4F" w:rsidRDefault="001935FC">
      <w:pPr>
        <w:spacing w:line="560" w:lineRule="exact"/>
        <w:ind w:firstLine="560"/>
        <w:rPr>
          <w:rFonts w:asciiTheme="minorEastAsia" w:hAnsiTheme="minorEastAsia" w:cs="宋体"/>
          <w:sz w:val="28"/>
          <w:szCs w:val="28"/>
        </w:rPr>
      </w:pPr>
      <w:r>
        <w:rPr>
          <w:rFonts w:asciiTheme="minorEastAsia" w:hAnsiTheme="minorEastAsia" w:cs="宋体" w:hint="eastAsia"/>
          <w:sz w:val="28"/>
          <w:szCs w:val="28"/>
        </w:rPr>
        <w:t>在所有的抚养案件中，不依约支付抚养费的案件占全部案件的</w:t>
      </w:r>
      <w:r>
        <w:rPr>
          <w:rFonts w:asciiTheme="minorEastAsia" w:hAnsiTheme="minorEastAsia" w:cs="宋体" w:hint="eastAsia"/>
          <w:sz w:val="28"/>
          <w:szCs w:val="28"/>
        </w:rPr>
        <w:t>56%</w:t>
      </w:r>
      <w:r>
        <w:rPr>
          <w:rFonts w:asciiTheme="minorEastAsia" w:hAnsiTheme="minorEastAsia" w:cs="宋体" w:hint="eastAsia"/>
          <w:sz w:val="28"/>
          <w:szCs w:val="28"/>
        </w:rPr>
        <w:t>。这类案件多为双方在协议离婚时对于抚养权及抚养费负担问题达成协议，但负有支付抚养费义务的一方当事人无正当理由拖欠抚养费导致子女一方诉至法院要求其支付抚养费。此类案件数量增多的一方面原因是不直接抚养未成年子女的一方父母将双方在离婚时对于夫妻财产的分割与抚养费的支付联系起来，认为在财产分割时分配给</w:t>
      </w:r>
      <w:r>
        <w:rPr>
          <w:rFonts w:asciiTheme="minorEastAsia" w:hAnsiTheme="minorEastAsia" w:cs="宋体" w:hint="eastAsia"/>
          <w:sz w:val="28"/>
          <w:szCs w:val="28"/>
        </w:rPr>
        <w:lastRenderedPageBreak/>
        <w:t>对方所有的财产中已经包含未成年子女的抚养费用，无需另行支付；另一方面是双方签订离婚</w:t>
      </w:r>
      <w:r>
        <w:rPr>
          <w:rFonts w:asciiTheme="minorEastAsia" w:hAnsiTheme="minorEastAsia" w:cs="宋体" w:hint="eastAsia"/>
          <w:sz w:val="28"/>
          <w:szCs w:val="28"/>
        </w:rPr>
        <w:t>协议时仅仅是出于对尽快解除婚姻关系的考虑才签订离婚协议，但在情感纠葛、财产分割等方面或许存有不满，因此为了报复对方恶意拖欠抚养费。或者是双方在离婚后因子女探望问题产生争议，以直接抚养未成年人一方阻止其探望子女为由拒绝支付抚养费。</w:t>
      </w:r>
    </w:p>
    <w:p w:rsidR="00225C4F" w:rsidRDefault="001935FC">
      <w:pPr>
        <w:numPr>
          <w:ilvl w:val="0"/>
          <w:numId w:val="2"/>
        </w:numPr>
        <w:spacing w:line="560" w:lineRule="exact"/>
        <w:ind w:firstLine="560"/>
        <w:rPr>
          <w:rFonts w:asciiTheme="minorEastAsia" w:hAnsiTheme="minorEastAsia" w:cs="宋体"/>
          <w:sz w:val="28"/>
          <w:szCs w:val="28"/>
        </w:rPr>
      </w:pPr>
      <w:r>
        <w:rPr>
          <w:rFonts w:asciiTheme="minorEastAsia" w:hAnsiTheme="minorEastAsia" w:cs="宋体" w:hint="eastAsia"/>
          <w:sz w:val="28"/>
          <w:szCs w:val="28"/>
        </w:rPr>
        <w:t>以父或母名义起诉</w:t>
      </w:r>
      <w:r>
        <w:rPr>
          <w:rFonts w:asciiTheme="minorEastAsia" w:hAnsiTheme="minorEastAsia" w:cs="宋体"/>
          <w:sz w:val="28"/>
          <w:szCs w:val="28"/>
        </w:rPr>
        <w:t>要求支付抚养费</w:t>
      </w:r>
    </w:p>
    <w:p w:rsidR="00225C4F" w:rsidRDefault="001935FC">
      <w:pPr>
        <w:spacing w:line="560" w:lineRule="exact"/>
        <w:ind w:firstLine="560"/>
        <w:rPr>
          <w:rFonts w:asciiTheme="minorEastAsia" w:hAnsiTheme="minorEastAsia" w:cs="宋体"/>
          <w:sz w:val="28"/>
          <w:szCs w:val="28"/>
        </w:rPr>
      </w:pPr>
      <w:r>
        <w:rPr>
          <w:rFonts w:asciiTheme="minorEastAsia" w:hAnsiTheme="minorEastAsia" w:cs="宋体" w:hint="eastAsia"/>
          <w:sz w:val="28"/>
          <w:szCs w:val="28"/>
        </w:rPr>
        <w:t>根据《民法典》规定，父母对未成年子女负有抚养、教育和保护的义务。父母与子女的关系，不因父母离婚而消除。因此，父母离婚后，对于未成年子女仍负有法定的抚养义务，未成年子女有权利向离婚后不直接抚养子女的一方父母请求支付抚养费。因此，抚养费案件中能够作为适格</w:t>
      </w:r>
      <w:r>
        <w:rPr>
          <w:rFonts w:asciiTheme="minorEastAsia" w:hAnsiTheme="minorEastAsia" w:cs="宋体" w:hint="eastAsia"/>
          <w:sz w:val="28"/>
          <w:szCs w:val="28"/>
        </w:rPr>
        <w:t>原告的一方当事人为未成年子女，而非其法定监护人。</w:t>
      </w:r>
      <w:r>
        <w:rPr>
          <w:rFonts w:asciiTheme="minorEastAsia" w:hAnsiTheme="minorEastAsia" w:cs="宋体"/>
          <w:sz w:val="28"/>
          <w:szCs w:val="28"/>
        </w:rPr>
        <w:t>通过对东关法庭审理的抚养纠纷案件进行分析，</w:t>
      </w:r>
      <w:r>
        <w:rPr>
          <w:rFonts w:asciiTheme="minorEastAsia" w:hAnsiTheme="minorEastAsia" w:cs="宋体" w:hint="eastAsia"/>
          <w:sz w:val="28"/>
          <w:szCs w:val="28"/>
        </w:rPr>
        <w:t>则</w:t>
      </w:r>
      <w:r>
        <w:rPr>
          <w:rFonts w:asciiTheme="minorEastAsia" w:hAnsiTheme="minorEastAsia" w:cs="宋体"/>
          <w:sz w:val="28"/>
          <w:szCs w:val="28"/>
        </w:rPr>
        <w:t>出现多例一方不支付抚养费</w:t>
      </w:r>
      <w:r>
        <w:rPr>
          <w:rFonts w:asciiTheme="minorEastAsia" w:hAnsiTheme="minorEastAsia" w:cs="宋体" w:hint="eastAsia"/>
          <w:sz w:val="28"/>
          <w:szCs w:val="28"/>
        </w:rPr>
        <w:t>而以父母名义起诉的案件，分析导致该现象出现的原因主要是当事人缺乏相应的法律知识，导致起诉主体错误。</w:t>
      </w:r>
    </w:p>
    <w:p w:rsidR="00225C4F" w:rsidRDefault="001935FC">
      <w:pPr>
        <w:numPr>
          <w:ilvl w:val="0"/>
          <w:numId w:val="2"/>
        </w:numPr>
        <w:spacing w:line="560" w:lineRule="exact"/>
        <w:ind w:firstLine="560"/>
        <w:rPr>
          <w:rFonts w:asciiTheme="minorEastAsia" w:hAnsiTheme="minorEastAsia" w:cs="宋体"/>
          <w:sz w:val="28"/>
          <w:szCs w:val="28"/>
        </w:rPr>
      </w:pPr>
      <w:r>
        <w:rPr>
          <w:rFonts w:asciiTheme="minorEastAsia" w:hAnsiTheme="minorEastAsia" w:cs="宋体" w:hint="eastAsia"/>
          <w:sz w:val="28"/>
          <w:szCs w:val="28"/>
        </w:rPr>
        <w:t>未成年人抚养费金额认定较难</w:t>
      </w:r>
    </w:p>
    <w:p w:rsidR="00225C4F" w:rsidRDefault="001935FC">
      <w:pPr>
        <w:spacing w:line="560" w:lineRule="exact"/>
        <w:ind w:firstLineChars="200" w:firstLine="560"/>
        <w:rPr>
          <w:rFonts w:asciiTheme="minorEastAsia" w:hAnsiTheme="minorEastAsia" w:cs="宋体"/>
          <w:sz w:val="28"/>
          <w:szCs w:val="28"/>
        </w:rPr>
      </w:pPr>
      <w:r>
        <w:rPr>
          <w:rFonts w:asciiTheme="minorEastAsia" w:hAnsiTheme="minorEastAsia" w:cs="宋体" w:hint="eastAsia"/>
          <w:sz w:val="28"/>
          <w:szCs w:val="28"/>
        </w:rPr>
        <w:t>父母双方均负有抚养未成年子女的法定义务，父母离婚并不会导致父母子女之间身份关系的解除。因此，父母离婚后，未成年子女享有向未直接抚养子女的父母一方要求支付抚养费的权利。关于抚养费的给付数额在实践中往往争议较大。一般而言，子女的抚养费可根据未成年子女的实际需要、父母的负担</w:t>
      </w:r>
      <w:r>
        <w:rPr>
          <w:rFonts w:asciiTheme="minorEastAsia" w:hAnsiTheme="minorEastAsia" w:cs="宋体" w:hint="eastAsia"/>
          <w:sz w:val="28"/>
          <w:szCs w:val="28"/>
        </w:rPr>
        <w:t>能力和当地生活水平予以确定。但是，随着社会的发展，不同年龄的未成年人生活需求并无统一标准，同时未成年人居住地的生活水平也在不断发展当中，因此对于抚养费的数额和支付方式，法院需要综合考虑多重因素进行衡量。</w:t>
      </w:r>
    </w:p>
    <w:p w:rsidR="00225C4F" w:rsidRDefault="001935FC">
      <w:pPr>
        <w:numPr>
          <w:ilvl w:val="0"/>
          <w:numId w:val="3"/>
        </w:numPr>
        <w:spacing w:line="560" w:lineRule="exact"/>
        <w:ind w:firstLine="560"/>
        <w:rPr>
          <w:rFonts w:asciiTheme="minorEastAsia" w:hAnsiTheme="minorEastAsia" w:cs="宋体"/>
          <w:sz w:val="28"/>
          <w:szCs w:val="28"/>
        </w:rPr>
      </w:pPr>
      <w:r>
        <w:rPr>
          <w:rFonts w:asciiTheme="minorEastAsia" w:hAnsiTheme="minorEastAsia" w:cs="宋体" w:hint="eastAsia"/>
          <w:sz w:val="28"/>
          <w:szCs w:val="28"/>
        </w:rPr>
        <w:lastRenderedPageBreak/>
        <w:t>继承案件</w:t>
      </w:r>
    </w:p>
    <w:p w:rsidR="00225C4F" w:rsidRDefault="001935FC">
      <w:pPr>
        <w:numPr>
          <w:ilvl w:val="0"/>
          <w:numId w:val="4"/>
        </w:numPr>
        <w:spacing w:line="560" w:lineRule="exact"/>
        <w:ind w:firstLineChars="200" w:firstLine="560"/>
        <w:rPr>
          <w:rFonts w:asciiTheme="minorEastAsia" w:hAnsiTheme="minorEastAsia" w:cs="宋体"/>
          <w:sz w:val="28"/>
          <w:szCs w:val="28"/>
        </w:rPr>
      </w:pPr>
      <w:r>
        <w:rPr>
          <w:rFonts w:asciiTheme="minorEastAsia" w:hAnsiTheme="minorEastAsia" w:cs="宋体" w:hint="eastAsia"/>
          <w:sz w:val="28"/>
          <w:szCs w:val="28"/>
        </w:rPr>
        <w:t>继承案件调解难度较大</w:t>
      </w:r>
    </w:p>
    <w:p w:rsidR="00225C4F" w:rsidRDefault="001935FC">
      <w:pPr>
        <w:spacing w:line="560" w:lineRule="exact"/>
        <w:ind w:firstLineChars="200" w:firstLine="560"/>
        <w:rPr>
          <w:rFonts w:asciiTheme="minorEastAsia" w:hAnsiTheme="minorEastAsia" w:cs="宋体"/>
          <w:sz w:val="28"/>
          <w:szCs w:val="28"/>
        </w:rPr>
      </w:pPr>
      <w:r>
        <w:rPr>
          <w:rFonts w:asciiTheme="minorEastAsia" w:hAnsiTheme="minorEastAsia" w:cs="宋体" w:hint="eastAsia"/>
          <w:sz w:val="28"/>
          <w:szCs w:val="28"/>
        </w:rPr>
        <w:t>继承纠纷案件形成诉讼之后，因涉及双方当事人的情感纠葛等问题，致使案件调解难度较大。从实际审判情况来看，一般的继承纠纷多发于兄弟姐妹之间对父母遗留的财产分配问题所产生的冲突，且大多数案件经由长期的家庭矛盾激化成讼，当事人情绪对抗严重、无法交流，导致法庭调解工作无法进行，甚至还会</w:t>
      </w:r>
      <w:r>
        <w:rPr>
          <w:rFonts w:asciiTheme="minorEastAsia" w:hAnsiTheme="minorEastAsia" w:cs="宋体" w:hint="eastAsia"/>
          <w:sz w:val="28"/>
          <w:szCs w:val="28"/>
        </w:rPr>
        <w:t>出现调解过程中或者庭审过程中双方当事人相互谩骂或者大打出手的情况。在多数案件中，原被告均主张自己照顾老人或者在老人生前付出较多，对于老人遗留的财产应当多分。</w:t>
      </w:r>
    </w:p>
    <w:p w:rsidR="00225C4F" w:rsidRDefault="001935FC">
      <w:pPr>
        <w:spacing w:line="560" w:lineRule="exact"/>
        <w:ind w:firstLineChars="200" w:firstLine="560"/>
        <w:rPr>
          <w:rFonts w:asciiTheme="minorEastAsia" w:hAnsiTheme="minorEastAsia" w:cs="宋体"/>
          <w:sz w:val="28"/>
          <w:szCs w:val="28"/>
        </w:rPr>
      </w:pPr>
      <w:r>
        <w:rPr>
          <w:rFonts w:asciiTheme="minorEastAsia" w:hAnsiTheme="minorEastAsia" w:cs="宋体" w:hint="eastAsia"/>
          <w:sz w:val="28"/>
          <w:szCs w:val="28"/>
        </w:rPr>
        <w:t>2</w:t>
      </w:r>
      <w:r>
        <w:rPr>
          <w:rFonts w:asciiTheme="minorEastAsia" w:hAnsiTheme="minorEastAsia" w:cs="宋体" w:hint="eastAsia"/>
          <w:sz w:val="28"/>
          <w:szCs w:val="28"/>
        </w:rPr>
        <w:t>、遗嘱继承案件数量偏少</w:t>
      </w:r>
    </w:p>
    <w:p w:rsidR="00225C4F" w:rsidRDefault="001935FC">
      <w:pPr>
        <w:spacing w:line="560" w:lineRule="exact"/>
        <w:ind w:firstLineChars="200" w:firstLine="560"/>
        <w:rPr>
          <w:rFonts w:asciiTheme="minorEastAsia" w:hAnsiTheme="minorEastAsia" w:cs="宋体"/>
          <w:sz w:val="28"/>
          <w:szCs w:val="28"/>
        </w:rPr>
      </w:pPr>
      <w:r>
        <w:rPr>
          <w:rFonts w:asciiTheme="minorEastAsia" w:hAnsiTheme="minorEastAsia" w:cs="宋体" w:hint="eastAsia"/>
          <w:sz w:val="28"/>
          <w:szCs w:val="28"/>
        </w:rPr>
        <w:t>继承纠纷主要涉及法定继承纠纷和遗嘱继承纠纷两个案由，在东关法庭所审理的继承案件中，法定继承纠纷案件占全部继承案件总数的</w:t>
      </w:r>
      <w:r>
        <w:rPr>
          <w:rFonts w:asciiTheme="minorEastAsia" w:hAnsiTheme="minorEastAsia" w:cs="宋体" w:hint="eastAsia"/>
          <w:sz w:val="28"/>
          <w:szCs w:val="28"/>
        </w:rPr>
        <w:t>70%</w:t>
      </w:r>
      <w:r>
        <w:rPr>
          <w:rFonts w:asciiTheme="minorEastAsia" w:hAnsiTheme="minorEastAsia" w:cs="宋体" w:hint="eastAsia"/>
          <w:sz w:val="28"/>
          <w:szCs w:val="28"/>
        </w:rPr>
        <w:t>，遗嘱继承纠纷案件占</w:t>
      </w:r>
      <w:r>
        <w:rPr>
          <w:rFonts w:asciiTheme="minorEastAsia" w:hAnsiTheme="minorEastAsia" w:cs="宋体" w:hint="eastAsia"/>
          <w:sz w:val="28"/>
          <w:szCs w:val="28"/>
        </w:rPr>
        <w:t>20%</w:t>
      </w:r>
      <w:r>
        <w:rPr>
          <w:rFonts w:asciiTheme="minorEastAsia" w:hAnsiTheme="minorEastAsia" w:cs="宋体" w:hint="eastAsia"/>
          <w:sz w:val="28"/>
          <w:szCs w:val="28"/>
        </w:rPr>
        <w:t>，其他诸如被继承人债务清偿纠纷等案件则占</w:t>
      </w:r>
      <w:r>
        <w:rPr>
          <w:rFonts w:asciiTheme="minorEastAsia" w:hAnsiTheme="minorEastAsia" w:cs="宋体" w:hint="eastAsia"/>
          <w:sz w:val="28"/>
          <w:szCs w:val="28"/>
        </w:rPr>
        <w:t>10%</w:t>
      </w:r>
      <w:r>
        <w:rPr>
          <w:rFonts w:asciiTheme="minorEastAsia" w:hAnsiTheme="minorEastAsia" w:cs="宋体" w:hint="eastAsia"/>
          <w:sz w:val="28"/>
          <w:szCs w:val="28"/>
        </w:rPr>
        <w:t>。之所以出现继承纠纷的原因主要是各继承人对被继承人所遗留的财产分配问题不能达成一致而产生矛盾，如果被继承人生前能够设立一份合法有效的</w:t>
      </w:r>
      <w:r>
        <w:rPr>
          <w:rFonts w:asciiTheme="minorEastAsia" w:hAnsiTheme="minorEastAsia" w:cs="宋体" w:hint="eastAsia"/>
          <w:sz w:val="28"/>
          <w:szCs w:val="28"/>
        </w:rPr>
        <w:t>遗嘱对其财产进行处分则会减少此类纠纷的发生。通过对当前继承案件的分析发现，遗嘱继承案件在继承纠纷中所占比例较少。分析其原因，主要是老人生前没有设立遗嘱的意识，导致在其去世后子女间因遗产分配问题爆发冲突。当然，即使一些老人在其生前针对其去世后财产的分配情况设立了书面遗嘱，也大多因缺乏相应法律知识导致遗嘱效力存疑进而引发诉讼。</w:t>
      </w:r>
    </w:p>
    <w:p w:rsidR="00225C4F" w:rsidRDefault="001935FC">
      <w:pPr>
        <w:spacing w:line="560" w:lineRule="exact"/>
        <w:ind w:firstLineChars="200" w:firstLine="560"/>
        <w:rPr>
          <w:rFonts w:asciiTheme="minorEastAsia" w:hAnsiTheme="minorEastAsia" w:cs="宋体"/>
          <w:sz w:val="28"/>
          <w:szCs w:val="28"/>
        </w:rPr>
      </w:pPr>
      <w:r>
        <w:rPr>
          <w:rFonts w:asciiTheme="minorEastAsia" w:hAnsiTheme="minorEastAsia" w:cs="宋体" w:hint="eastAsia"/>
          <w:sz w:val="28"/>
          <w:szCs w:val="28"/>
        </w:rPr>
        <w:t>3</w:t>
      </w:r>
      <w:r>
        <w:rPr>
          <w:rFonts w:asciiTheme="minorEastAsia" w:hAnsiTheme="minorEastAsia" w:cs="宋体" w:hint="eastAsia"/>
          <w:sz w:val="28"/>
          <w:szCs w:val="28"/>
        </w:rPr>
        <w:t>、涉房产继承问题矛盾突出</w:t>
      </w:r>
    </w:p>
    <w:p w:rsidR="00225C4F" w:rsidRDefault="001935FC">
      <w:pPr>
        <w:spacing w:line="560" w:lineRule="exact"/>
        <w:ind w:firstLineChars="200" w:firstLine="560"/>
        <w:rPr>
          <w:rFonts w:asciiTheme="minorEastAsia" w:hAnsiTheme="minorEastAsia" w:cs="宋体"/>
          <w:sz w:val="28"/>
          <w:szCs w:val="28"/>
        </w:rPr>
      </w:pPr>
      <w:r>
        <w:rPr>
          <w:rFonts w:asciiTheme="minorEastAsia" w:hAnsiTheme="minorEastAsia" w:cs="宋体" w:hint="eastAsia"/>
          <w:sz w:val="28"/>
          <w:szCs w:val="28"/>
        </w:rPr>
        <w:t>通过对继承纠纷案件的分析发现，被继承人遗留的房产问题是当</w:t>
      </w:r>
      <w:r>
        <w:rPr>
          <w:rFonts w:asciiTheme="minorEastAsia" w:hAnsiTheme="minorEastAsia" w:cs="宋体" w:hint="eastAsia"/>
          <w:sz w:val="28"/>
          <w:szCs w:val="28"/>
        </w:rPr>
        <w:lastRenderedPageBreak/>
        <w:t>前继承纠纷的争议所在。特别是各继承人对于以作为被继承人的父母名义购买的单位集资房是否属于被继承人的遗产</w:t>
      </w:r>
      <w:r>
        <w:rPr>
          <w:rFonts w:asciiTheme="minorEastAsia" w:hAnsiTheme="minorEastAsia" w:cs="宋体" w:hint="eastAsia"/>
          <w:sz w:val="28"/>
          <w:szCs w:val="28"/>
        </w:rPr>
        <w:t>常存在较大争议。在东关法庭审理的多起争议遗产为父母单位的集资房的继承案件中，多数作为原告的子女一方主张其对以父母名义购买的集资房有出资，从而主张其享有房产的部分份额，或者主张自己一方为房产的共有人。此外，还有一些以父母名义购买的无产权证的集资房所产生的继承问题也是当前审理中的难点。</w:t>
      </w:r>
    </w:p>
    <w:p w:rsidR="00225C4F" w:rsidRDefault="001935FC">
      <w:pPr>
        <w:spacing w:line="560" w:lineRule="exact"/>
        <w:ind w:left="560"/>
        <w:rPr>
          <w:rFonts w:asciiTheme="minorEastAsia" w:hAnsiTheme="minorEastAsia" w:cs="宋体"/>
          <w:sz w:val="28"/>
          <w:szCs w:val="28"/>
        </w:rPr>
      </w:pPr>
      <w:r>
        <w:rPr>
          <w:rFonts w:asciiTheme="minorEastAsia" w:hAnsiTheme="minorEastAsia" w:cs="宋体" w:hint="eastAsia"/>
          <w:sz w:val="28"/>
          <w:szCs w:val="28"/>
        </w:rPr>
        <w:t>4</w:t>
      </w:r>
      <w:r>
        <w:rPr>
          <w:rFonts w:asciiTheme="minorEastAsia" w:hAnsiTheme="minorEastAsia" w:cs="宋体" w:hint="eastAsia"/>
          <w:sz w:val="28"/>
          <w:szCs w:val="28"/>
        </w:rPr>
        <w:t>、多子女家庭易爆发遗产继承纠纷</w:t>
      </w:r>
    </w:p>
    <w:p w:rsidR="00225C4F" w:rsidRDefault="001935FC">
      <w:pPr>
        <w:spacing w:line="560" w:lineRule="exact"/>
        <w:ind w:firstLineChars="200" w:firstLine="560"/>
        <w:rPr>
          <w:rFonts w:asciiTheme="minorEastAsia" w:hAnsiTheme="minorEastAsia" w:cs="宋体"/>
          <w:sz w:val="28"/>
          <w:szCs w:val="28"/>
        </w:rPr>
      </w:pPr>
      <w:r>
        <w:rPr>
          <w:rFonts w:asciiTheme="minorEastAsia" w:hAnsiTheme="minorEastAsia" w:cs="宋体" w:hint="eastAsia"/>
          <w:sz w:val="28"/>
          <w:szCs w:val="28"/>
        </w:rPr>
        <w:t>通过对继承案件的当事人进行分析，我们发现继承案件的当事人以被继承人的多个子女为主，相较于独生子女家庭，多子女家庭更容易引发此类纠纷。分析其原因，主要是纠纷涉及的事实往往年代较为久远，当事人缺乏保</w:t>
      </w:r>
      <w:r>
        <w:rPr>
          <w:rFonts w:asciiTheme="minorEastAsia" w:hAnsiTheme="minorEastAsia" w:cs="宋体" w:hint="eastAsia"/>
          <w:sz w:val="28"/>
          <w:szCs w:val="28"/>
        </w:rPr>
        <w:t>留证据的习惯，往往是各说各有理，没有客观的证据予以佐证，导致案件事实难以认定。其次，对于子女较多的家庭，父母在世时都难以保证完全做到公平公正，这就导致在继承财产的分配上存在分配不均、进而出现部分子女之间爆发矛盾等现象。此外，实践中不乏出现被继承人在其在世时通过遗嘱将遗产赠与孙子女的情况，该类情况则在被继承人去世后容易引发被继承人的孙子女与其他子女之间的争议，甚至出现被继承人所立遗嘱处分夫妻共同财产而导致遗嘱全部或部分无效的情况，在遗嘱继承纠纷中这类案件较为复杂。</w:t>
      </w:r>
    </w:p>
    <w:p w:rsidR="00225C4F" w:rsidRDefault="001935FC">
      <w:pPr>
        <w:spacing w:line="560" w:lineRule="exact"/>
        <w:ind w:firstLineChars="250" w:firstLine="703"/>
        <w:rPr>
          <w:rFonts w:asciiTheme="minorEastAsia" w:hAnsiTheme="minorEastAsia" w:cs="宋体"/>
          <w:b/>
          <w:sz w:val="28"/>
          <w:szCs w:val="28"/>
        </w:rPr>
      </w:pPr>
      <w:r>
        <w:rPr>
          <w:rFonts w:asciiTheme="minorEastAsia" w:hAnsiTheme="minorEastAsia" w:cs="宋体" w:hint="eastAsia"/>
          <w:b/>
          <w:sz w:val="28"/>
          <w:szCs w:val="28"/>
        </w:rPr>
        <w:t>三、家事案件审判的探索与改革</w:t>
      </w:r>
    </w:p>
    <w:p w:rsidR="00225C4F" w:rsidRDefault="001935FC">
      <w:pPr>
        <w:spacing w:line="560" w:lineRule="exact"/>
        <w:ind w:firstLine="560"/>
        <w:rPr>
          <w:rFonts w:asciiTheme="minorEastAsia" w:hAnsiTheme="minorEastAsia" w:cs="宋体"/>
          <w:sz w:val="28"/>
          <w:szCs w:val="28"/>
        </w:rPr>
      </w:pPr>
      <w:r>
        <w:rPr>
          <w:rFonts w:asciiTheme="minorEastAsia" w:hAnsiTheme="minorEastAsia" w:cs="宋体" w:hint="eastAsia"/>
          <w:sz w:val="28"/>
          <w:szCs w:val="28"/>
        </w:rPr>
        <w:t>（一）构建家事案件多元化纠纷化解机制</w:t>
      </w:r>
    </w:p>
    <w:p w:rsidR="00225C4F" w:rsidRDefault="001935FC">
      <w:pPr>
        <w:spacing w:line="560" w:lineRule="exact"/>
        <w:ind w:firstLine="560"/>
        <w:rPr>
          <w:rFonts w:asciiTheme="minorEastAsia" w:hAnsiTheme="minorEastAsia" w:cs="宋体"/>
          <w:sz w:val="28"/>
          <w:szCs w:val="28"/>
        </w:rPr>
      </w:pPr>
      <w:r>
        <w:rPr>
          <w:rFonts w:asciiTheme="minorEastAsia" w:hAnsiTheme="minorEastAsia" w:cs="宋体" w:hint="eastAsia"/>
          <w:sz w:val="28"/>
          <w:szCs w:val="28"/>
        </w:rPr>
        <w:t>家事案件不同于一般的民事案件，该类案件特点主要体现为当事人情感色彩浓厚，如果处理不当则会导致矛盾激化，甚至有可能演变</w:t>
      </w:r>
      <w:r>
        <w:rPr>
          <w:rFonts w:asciiTheme="minorEastAsia" w:hAnsiTheme="minorEastAsia" w:cs="宋体" w:hint="eastAsia"/>
          <w:sz w:val="28"/>
          <w:szCs w:val="28"/>
        </w:rPr>
        <w:lastRenderedPageBreak/>
        <w:t>成“民转刑”等恶性事件，给家庭、社会带来不稳定因素。为了更好的化解矛盾、解决纠纷，我们应当针对家事纠纷案件独有的特点，设立专门性的多元化纠纷化解机制。就家事纠纷而言，判决不是惟一的纠纷解决途径，要想全面化解家事纠纷，必须从多角度、全方位入手，促进家事纠纷案件审判改革，推动建立诉前调解、社会调解联动机制。</w:t>
      </w:r>
    </w:p>
    <w:p w:rsidR="00225C4F" w:rsidRDefault="001935FC">
      <w:pPr>
        <w:spacing w:line="560" w:lineRule="exact"/>
        <w:ind w:firstLine="560"/>
        <w:rPr>
          <w:rFonts w:asciiTheme="minorEastAsia" w:hAnsiTheme="minorEastAsia" w:cs="宋体"/>
          <w:sz w:val="28"/>
          <w:szCs w:val="28"/>
        </w:rPr>
      </w:pPr>
      <w:r>
        <w:rPr>
          <w:rFonts w:asciiTheme="minorEastAsia" w:hAnsiTheme="minorEastAsia" w:cs="宋体" w:hint="eastAsia"/>
          <w:sz w:val="28"/>
          <w:szCs w:val="28"/>
        </w:rPr>
        <w:t>1</w:t>
      </w:r>
      <w:r>
        <w:rPr>
          <w:rFonts w:asciiTheme="minorEastAsia" w:hAnsiTheme="minorEastAsia" w:cs="宋体" w:hint="eastAsia"/>
          <w:sz w:val="28"/>
          <w:szCs w:val="28"/>
        </w:rPr>
        <w:t>、坚持诉前调解先行</w:t>
      </w:r>
    </w:p>
    <w:p w:rsidR="00225C4F" w:rsidRDefault="001935FC">
      <w:pPr>
        <w:spacing w:line="560" w:lineRule="exact"/>
        <w:ind w:firstLine="560"/>
        <w:rPr>
          <w:rFonts w:asciiTheme="minorEastAsia" w:hAnsiTheme="minorEastAsia" w:cs="宋体"/>
          <w:sz w:val="28"/>
          <w:szCs w:val="28"/>
        </w:rPr>
      </w:pPr>
      <w:r>
        <w:rPr>
          <w:rFonts w:asciiTheme="minorEastAsia" w:hAnsiTheme="minorEastAsia" w:cs="宋体" w:hint="eastAsia"/>
          <w:sz w:val="28"/>
          <w:szCs w:val="28"/>
        </w:rPr>
        <w:t>家事纠纷案件的矛盾和争议主要发</w:t>
      </w:r>
      <w:r>
        <w:rPr>
          <w:rFonts w:asciiTheme="minorEastAsia" w:hAnsiTheme="minorEastAsia" w:cs="宋体" w:hint="eastAsia"/>
          <w:sz w:val="28"/>
          <w:szCs w:val="28"/>
        </w:rPr>
        <w:t>生在家庭成员内部之间，如果当庭对抗，情绪难免激动。离婚纠纷、继承纠纷、赡养纠纷等均是家庭矛盾在社会中的缩影。针对家事纠纷案件要想做到溯源治理，应当做到诉前调解先行。东关法庭专门设立了多元联动调解室，邀请具有丰富的社区工作经验、调解能力强的社区工作者及具有法律工作经验的法律工作者担任人民调解员。对于离婚、赡养、继承案件，在人民调解员的耐心调解下，有很多当事人能够和平的处理矛盾，通过对当事人的前期调解，将矛盾化解在诉前。</w:t>
      </w:r>
    </w:p>
    <w:p w:rsidR="00225C4F" w:rsidRDefault="001935FC">
      <w:pPr>
        <w:pStyle w:val="a9"/>
        <w:spacing w:line="560" w:lineRule="exact"/>
        <w:ind w:leftChars="200" w:left="420" w:firstLineChars="50" w:firstLine="140"/>
        <w:jc w:val="left"/>
        <w:rPr>
          <w:rFonts w:asciiTheme="minorEastAsia" w:hAnsiTheme="minorEastAsia" w:cs="宋体"/>
          <w:sz w:val="28"/>
          <w:szCs w:val="28"/>
        </w:rPr>
      </w:pPr>
      <w:r>
        <w:rPr>
          <w:rFonts w:asciiTheme="minorEastAsia" w:hAnsiTheme="minorEastAsia" w:cs="宋体" w:hint="eastAsia"/>
          <w:sz w:val="28"/>
          <w:szCs w:val="28"/>
        </w:rPr>
        <w:t>2.</w:t>
      </w:r>
      <w:r>
        <w:rPr>
          <w:rFonts w:asciiTheme="minorEastAsia" w:hAnsiTheme="minorEastAsia" w:cs="宋体" w:hint="eastAsia"/>
          <w:sz w:val="28"/>
          <w:szCs w:val="28"/>
        </w:rPr>
        <w:t>协同建立民事支持起诉工作模式</w:t>
      </w:r>
    </w:p>
    <w:p w:rsidR="00225C4F" w:rsidRDefault="001935FC">
      <w:pPr>
        <w:spacing w:line="560" w:lineRule="exact"/>
        <w:ind w:firstLineChars="200" w:firstLine="560"/>
        <w:rPr>
          <w:rFonts w:asciiTheme="minorEastAsia" w:hAnsiTheme="minorEastAsia" w:cs="宋体"/>
          <w:sz w:val="28"/>
          <w:szCs w:val="28"/>
        </w:rPr>
      </w:pPr>
      <w:r>
        <w:rPr>
          <w:rFonts w:asciiTheme="minorEastAsia" w:hAnsiTheme="minorEastAsia" w:cs="宋体" w:hint="eastAsia"/>
          <w:sz w:val="28"/>
          <w:szCs w:val="28"/>
        </w:rPr>
        <w:t>为保护未成年人及老年人等特殊群体的利益，在家事案件审理中</w:t>
      </w:r>
      <w:r>
        <w:rPr>
          <w:rFonts w:asciiTheme="minorEastAsia" w:hAnsiTheme="minorEastAsia" w:cs="宋体" w:hint="eastAsia"/>
          <w:sz w:val="28"/>
          <w:szCs w:val="28"/>
        </w:rPr>
        <w:t>，东关法庭注重与检察机关形成联动，积极推行检察机关支持起诉制度。对于家事纠纷中涉及未成年人、老年人、妇女等特殊弱势群体的案件，积极与检察机关联系，建议检察机关支持起诉。</w:t>
      </w:r>
      <w:r>
        <w:rPr>
          <w:rFonts w:asciiTheme="minorEastAsia" w:hAnsiTheme="minorEastAsia" w:cs="宋体" w:hint="eastAsia"/>
          <w:sz w:val="28"/>
          <w:szCs w:val="28"/>
        </w:rPr>
        <w:t>2022</w:t>
      </w:r>
      <w:r>
        <w:rPr>
          <w:rFonts w:asciiTheme="minorEastAsia" w:hAnsiTheme="minorEastAsia" w:cs="宋体" w:hint="eastAsia"/>
          <w:sz w:val="28"/>
          <w:szCs w:val="28"/>
        </w:rPr>
        <w:t>年东关法庭就有两件案件涉及检察机关支持起诉。分别为涉及妇女的扶养纠纷和涉及老年人的赡养纠纷。这两起案件中检察机关为当事人提供法律咨询、协助当事人收集证据，并向法院提交支持起诉书。我院对于检察机关支持起诉的案件给予充分的关注，与检察机关合力为特殊弱势群体民事权益的保护提供更好的司法保障。</w:t>
      </w:r>
    </w:p>
    <w:p w:rsidR="00225C4F" w:rsidRDefault="001935FC">
      <w:pPr>
        <w:spacing w:line="560" w:lineRule="exact"/>
        <w:ind w:firstLineChars="250" w:firstLine="700"/>
        <w:rPr>
          <w:rFonts w:asciiTheme="minorEastAsia" w:hAnsiTheme="minorEastAsia" w:cs="宋体"/>
          <w:sz w:val="28"/>
          <w:szCs w:val="28"/>
        </w:rPr>
      </w:pPr>
      <w:r>
        <w:rPr>
          <w:rFonts w:asciiTheme="minorEastAsia" w:hAnsiTheme="minorEastAsia" w:cs="宋体" w:hint="eastAsia"/>
          <w:sz w:val="28"/>
          <w:szCs w:val="28"/>
        </w:rPr>
        <w:lastRenderedPageBreak/>
        <w:t>3.</w:t>
      </w:r>
      <w:r>
        <w:rPr>
          <w:rFonts w:asciiTheme="minorEastAsia" w:hAnsiTheme="minorEastAsia" w:cs="宋体" w:hint="eastAsia"/>
          <w:sz w:val="28"/>
          <w:szCs w:val="28"/>
        </w:rPr>
        <w:t>推进民刑共筑家事审判</w:t>
      </w:r>
    </w:p>
    <w:p w:rsidR="00225C4F" w:rsidRDefault="001935FC">
      <w:pPr>
        <w:pStyle w:val="a6"/>
        <w:widowControl/>
        <w:shd w:val="clear" w:color="auto" w:fill="FFFFFF"/>
        <w:spacing w:beforeAutospacing="0" w:afterAutospacing="0" w:line="560" w:lineRule="exact"/>
        <w:ind w:firstLineChars="200" w:firstLine="560"/>
        <w:jc w:val="both"/>
        <w:rPr>
          <w:rFonts w:asciiTheme="minorEastAsia" w:hAnsiTheme="minorEastAsia" w:cs="宋体"/>
          <w:sz w:val="28"/>
          <w:szCs w:val="28"/>
        </w:rPr>
      </w:pPr>
      <w:r>
        <w:rPr>
          <w:rFonts w:asciiTheme="minorEastAsia" w:hAnsiTheme="minorEastAsia" w:cs="宋体" w:hint="eastAsia"/>
          <w:sz w:val="28"/>
          <w:szCs w:val="28"/>
        </w:rPr>
        <w:t>为更好推进家事审判工作</w:t>
      </w:r>
      <w:r>
        <w:rPr>
          <w:rFonts w:asciiTheme="minorEastAsia" w:hAnsiTheme="minorEastAsia" w:cs="宋体" w:hint="eastAsia"/>
          <w:sz w:val="28"/>
          <w:szCs w:val="28"/>
        </w:rPr>
        <w:t>发展，聚焦妇女儿童权益保护，我院已于</w:t>
      </w:r>
      <w:r>
        <w:rPr>
          <w:rFonts w:asciiTheme="minorEastAsia" w:hAnsiTheme="minorEastAsia" w:cs="宋体" w:hint="eastAsia"/>
          <w:sz w:val="28"/>
          <w:szCs w:val="28"/>
        </w:rPr>
        <w:t>2022</w:t>
      </w:r>
      <w:r>
        <w:rPr>
          <w:rFonts w:asciiTheme="minorEastAsia" w:hAnsiTheme="minorEastAsia" w:cs="宋体" w:hint="eastAsia"/>
          <w:sz w:val="28"/>
          <w:szCs w:val="28"/>
        </w:rPr>
        <w:t>年</w:t>
      </w:r>
      <w:r>
        <w:rPr>
          <w:rFonts w:asciiTheme="minorEastAsia" w:hAnsiTheme="minorEastAsia" w:cs="宋体" w:hint="eastAsia"/>
          <w:sz w:val="28"/>
          <w:szCs w:val="28"/>
        </w:rPr>
        <w:t>7</w:t>
      </w:r>
      <w:r>
        <w:rPr>
          <w:rFonts w:asciiTheme="minorEastAsia" w:hAnsiTheme="minorEastAsia" w:cs="宋体" w:hint="eastAsia"/>
          <w:sz w:val="28"/>
          <w:szCs w:val="28"/>
        </w:rPr>
        <w:t>月将未成年人犯罪刑事案件纳入东关法庭家事专业化审判范围。针对未成年人犯罪刑事案件，坚持庭审工作前移，社会调查不清楚的不开庭；注重庭审教育，被告人不认罪的不轻易下判决。延伸司法效能，判后帮教不松手，防范少年犯重新犯罪。对涉罪未成年人实行“一案一档”，积极对未成年人进行心理咨询和心理疏导，帮助犯罪的未成年人积极回归社会。案件审结后注重对未成年被告人的法庭帮教作用，积极走访未成年人家庭，发现导致未成年人犯罪的真正原因，协同未成年人家长、学校开展对未成年人的帮助，助力</w:t>
      </w:r>
      <w:r>
        <w:rPr>
          <w:rFonts w:asciiTheme="minorEastAsia" w:hAnsiTheme="minorEastAsia" w:cs="宋体" w:hint="eastAsia"/>
          <w:sz w:val="28"/>
          <w:szCs w:val="28"/>
        </w:rPr>
        <w:t>犯罪的未成年人早日回归正常生活。针对走访中发现的处于九年义务教育阶段的义务教育缺失的未成年人，主动与当地村委及学校进行联系，帮助其尽快回到学校接受义务教育。</w:t>
      </w:r>
    </w:p>
    <w:p w:rsidR="00225C4F" w:rsidRDefault="001935FC">
      <w:pPr>
        <w:spacing w:line="560" w:lineRule="exact"/>
        <w:rPr>
          <w:rFonts w:asciiTheme="minorEastAsia" w:hAnsiTheme="minorEastAsia" w:cs="宋体"/>
          <w:sz w:val="28"/>
          <w:szCs w:val="28"/>
        </w:rPr>
      </w:pPr>
      <w:r>
        <w:rPr>
          <w:rFonts w:asciiTheme="minorEastAsia" w:hAnsiTheme="minorEastAsia" w:cs="宋体" w:hint="eastAsia"/>
          <w:sz w:val="28"/>
          <w:szCs w:val="28"/>
        </w:rPr>
        <w:t xml:space="preserve">    </w:t>
      </w:r>
      <w:r>
        <w:rPr>
          <w:rFonts w:asciiTheme="minorEastAsia" w:hAnsiTheme="minorEastAsia" w:cs="宋体" w:hint="eastAsia"/>
          <w:sz w:val="28"/>
          <w:szCs w:val="28"/>
        </w:rPr>
        <w:t>（二）探索新的离婚案件审判规则</w:t>
      </w:r>
    </w:p>
    <w:p w:rsidR="00225C4F" w:rsidRDefault="001935FC">
      <w:pPr>
        <w:spacing w:line="560" w:lineRule="exact"/>
        <w:ind w:firstLineChars="200" w:firstLine="560"/>
        <w:rPr>
          <w:rFonts w:asciiTheme="minorEastAsia" w:hAnsiTheme="minorEastAsia" w:cs="宋体"/>
          <w:sz w:val="28"/>
          <w:szCs w:val="28"/>
        </w:rPr>
      </w:pPr>
      <w:r>
        <w:rPr>
          <w:rFonts w:asciiTheme="minorEastAsia" w:hAnsiTheme="minorEastAsia" w:cs="宋体" w:hint="eastAsia"/>
          <w:sz w:val="28"/>
          <w:szCs w:val="28"/>
        </w:rPr>
        <w:t>离婚案件的办理不仅仅涉及身份关系的解除，而且往往夹杂着子女抚养权归属以及财产利益冲突。基于离婚案件自身所具有的独特属性，且此类案件当事人大多因为情感冲突导致矛盾激化。东关法庭审理的一起离婚案件当事人在离婚后因感情纠葛共提起四起诉讼，均涉及夫妻共同财产的分割问题。为了更好地处理离婚案件，我们必须革新观念，针对当前离</w:t>
      </w:r>
      <w:r>
        <w:rPr>
          <w:rFonts w:asciiTheme="minorEastAsia" w:hAnsiTheme="minorEastAsia" w:cs="宋体" w:hint="eastAsia"/>
          <w:sz w:val="28"/>
          <w:szCs w:val="28"/>
        </w:rPr>
        <w:t>婚案件中出现的新问题建立新的离婚案件审判规则。</w:t>
      </w:r>
    </w:p>
    <w:p w:rsidR="00225C4F" w:rsidRDefault="001935FC">
      <w:pPr>
        <w:spacing w:line="560" w:lineRule="exact"/>
        <w:ind w:left="420" w:firstLineChars="100" w:firstLine="280"/>
        <w:rPr>
          <w:rFonts w:asciiTheme="minorEastAsia" w:hAnsiTheme="minorEastAsia" w:cs="宋体"/>
          <w:sz w:val="28"/>
          <w:szCs w:val="28"/>
        </w:rPr>
      </w:pPr>
      <w:r>
        <w:rPr>
          <w:rFonts w:asciiTheme="minorEastAsia" w:hAnsiTheme="minorEastAsia" w:cs="宋体" w:hint="eastAsia"/>
          <w:sz w:val="28"/>
          <w:szCs w:val="28"/>
        </w:rPr>
        <w:t>1</w:t>
      </w:r>
      <w:r>
        <w:rPr>
          <w:rFonts w:asciiTheme="minorEastAsia" w:hAnsiTheme="minorEastAsia" w:cs="宋体" w:hint="eastAsia"/>
          <w:sz w:val="28"/>
          <w:szCs w:val="28"/>
        </w:rPr>
        <w:t>、制定离婚案件夫妻共同财产申报制度</w:t>
      </w:r>
    </w:p>
    <w:p w:rsidR="00225C4F" w:rsidRDefault="001935FC">
      <w:pPr>
        <w:spacing w:line="560" w:lineRule="exact"/>
        <w:ind w:firstLineChars="200" w:firstLine="560"/>
        <w:rPr>
          <w:rFonts w:asciiTheme="minorEastAsia" w:hAnsiTheme="minorEastAsia" w:cs="宋体"/>
          <w:sz w:val="28"/>
          <w:szCs w:val="28"/>
        </w:rPr>
      </w:pPr>
      <w:r>
        <w:rPr>
          <w:rFonts w:asciiTheme="minorEastAsia" w:hAnsiTheme="minorEastAsia" w:cs="宋体" w:hint="eastAsia"/>
          <w:sz w:val="28"/>
          <w:szCs w:val="28"/>
        </w:rPr>
        <w:t>现在的离婚纠纷案件大多涉及财产分割问题，实践中也存在许多当事人双方为尽快达到判决离婚或者调解离婚等目的而隐匿共同财</w:t>
      </w:r>
      <w:r>
        <w:rPr>
          <w:rFonts w:asciiTheme="minorEastAsia" w:hAnsiTheme="minorEastAsia" w:cs="宋体" w:hint="eastAsia"/>
          <w:sz w:val="28"/>
          <w:szCs w:val="28"/>
        </w:rPr>
        <w:lastRenderedPageBreak/>
        <w:t>产或者当事人一方为防止对方分割财产而故意隐瞒夫妻共同财产，这就导致共同财产在离婚案件中未予分割或者未予全部分割。此种现象导致离婚后财产纠纷案件的数量直线上升，这不仅会导致司法资源的浪费，同时也会增加当事人的诉累。因此，建立离婚案件夫妻共同财产申报制度极为必要。这就要求离婚双方当事人在提起离婚诉讼时应当向法院申报</w:t>
      </w:r>
      <w:r>
        <w:rPr>
          <w:rFonts w:asciiTheme="minorEastAsia" w:hAnsiTheme="minorEastAsia" w:cs="宋体" w:hint="eastAsia"/>
          <w:sz w:val="28"/>
          <w:szCs w:val="28"/>
        </w:rPr>
        <w:t>财产。在一方当事人明确提出对方名下还存在其他财产未申报的情况下，未申报方仍然拒绝补充申报，如经法院查实该财产确实属于夫妻共同财产的，可以视为未申报方存在主观恶意，并判决其少分或者不分该项财产。关于该项财产申报制度的具体落实，可以通过要求离婚案件当事人在诉讼中签署填写《离婚案件夫妻共同财产申报表》的方式来进行。（具体的离婚案件当事人夫妻共同财产申报表的范本见文末附件一。）</w:t>
      </w:r>
    </w:p>
    <w:p w:rsidR="00225C4F" w:rsidRDefault="001935FC">
      <w:pPr>
        <w:spacing w:line="560" w:lineRule="exact"/>
        <w:ind w:left="560"/>
        <w:rPr>
          <w:rFonts w:asciiTheme="minorEastAsia" w:hAnsiTheme="minorEastAsia" w:cs="宋体"/>
          <w:sz w:val="28"/>
          <w:szCs w:val="28"/>
        </w:rPr>
      </w:pPr>
      <w:r>
        <w:rPr>
          <w:rFonts w:asciiTheme="minorEastAsia" w:hAnsiTheme="minorEastAsia" w:cs="宋体" w:hint="eastAsia"/>
          <w:sz w:val="28"/>
          <w:szCs w:val="28"/>
        </w:rPr>
        <w:t>2</w:t>
      </w:r>
      <w:r>
        <w:rPr>
          <w:rFonts w:asciiTheme="minorEastAsia" w:hAnsiTheme="minorEastAsia" w:cs="宋体" w:hint="eastAsia"/>
          <w:sz w:val="28"/>
          <w:szCs w:val="28"/>
        </w:rPr>
        <w:t>、设立圆桌式家事审判庭</w:t>
      </w:r>
    </w:p>
    <w:p w:rsidR="00225C4F" w:rsidRDefault="001935FC">
      <w:pPr>
        <w:spacing w:line="560" w:lineRule="exact"/>
        <w:ind w:firstLineChars="200" w:firstLine="560"/>
        <w:rPr>
          <w:rFonts w:asciiTheme="minorEastAsia" w:hAnsiTheme="minorEastAsia"/>
          <w:sz w:val="28"/>
          <w:szCs w:val="28"/>
        </w:rPr>
      </w:pPr>
      <w:r>
        <w:rPr>
          <w:rFonts w:asciiTheme="minorEastAsia" w:hAnsiTheme="minorEastAsia" w:cs="宋体" w:hint="eastAsia"/>
          <w:sz w:val="28"/>
          <w:szCs w:val="28"/>
        </w:rPr>
        <w:t>家事纠纷主要类型多为离婚、继承、抚养案件，其自身感情色彩浓厚，在案件审理中当事人容易情绪化对立化。家事纠纷的解决不是简单的机械办案，而需要从内在原因出发，纾解当事人情绪、了解当事人心结所在、真正化解当事人矛盾。针对家事纠纷案件当事人，东关法庭设立有压力释放室、心理疏导室等相关配套设施，重在纾解当事人情绪，释放当事人心理压力，能够以冷静的态度面对矛盾、解决问题。此外，配备有专门的家事审判庭，家事审判庭主要以圆桌法庭的形式呈现，打破了传统审判庭的设置模式，拉近了法官和当事人的距离，原被告席位以丈夫妻子的席位进行</w:t>
      </w:r>
      <w:r>
        <w:rPr>
          <w:rFonts w:asciiTheme="minorEastAsia" w:hAnsiTheme="minorEastAsia" w:cs="宋体" w:hint="eastAsia"/>
          <w:sz w:val="28"/>
          <w:szCs w:val="28"/>
        </w:rPr>
        <w:t>替代，削减离婚案件双方当事人的对立色彩，营造温情的氛围，从而更好地解决双方当事人之间的纠纷和矛盾。</w:t>
      </w:r>
      <w:r>
        <w:rPr>
          <w:rFonts w:asciiTheme="minorEastAsia" w:hAnsiTheme="minorEastAsia" w:cs="宋体" w:hint="eastAsia"/>
          <w:sz w:val="28"/>
          <w:szCs w:val="28"/>
        </w:rPr>
        <w:t>2022</w:t>
      </w:r>
      <w:r>
        <w:rPr>
          <w:rFonts w:asciiTheme="minorEastAsia" w:hAnsiTheme="minorEastAsia" w:cs="宋体" w:hint="eastAsia"/>
          <w:sz w:val="28"/>
          <w:szCs w:val="28"/>
        </w:rPr>
        <w:t>年一年时间，</w:t>
      </w:r>
      <w:r>
        <w:rPr>
          <w:rFonts w:asciiTheme="minorEastAsia" w:hAnsiTheme="minorEastAsia" w:hint="eastAsia"/>
          <w:sz w:val="28"/>
          <w:szCs w:val="28"/>
        </w:rPr>
        <w:t>在圆桌法庭，我们共调和十余起</w:t>
      </w:r>
      <w:r>
        <w:rPr>
          <w:rFonts w:asciiTheme="minorEastAsia" w:hAnsiTheme="minorEastAsia" w:hint="eastAsia"/>
          <w:sz w:val="28"/>
          <w:szCs w:val="28"/>
        </w:rPr>
        <w:lastRenderedPageBreak/>
        <w:t>离婚案件，调解撤诉家事纠纷案件</w:t>
      </w:r>
      <w:r>
        <w:rPr>
          <w:rFonts w:asciiTheme="minorEastAsia" w:hAnsiTheme="minorEastAsia" w:hint="eastAsia"/>
          <w:sz w:val="28"/>
          <w:szCs w:val="28"/>
        </w:rPr>
        <w:t>83</w:t>
      </w:r>
      <w:r>
        <w:rPr>
          <w:rFonts w:asciiTheme="minorEastAsia" w:hAnsiTheme="minorEastAsia" w:hint="eastAsia"/>
          <w:sz w:val="28"/>
          <w:szCs w:val="28"/>
        </w:rPr>
        <w:t>件。</w:t>
      </w:r>
    </w:p>
    <w:p w:rsidR="00225C4F" w:rsidRDefault="001935FC">
      <w:pPr>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hint="eastAsia"/>
          <w:sz w:val="28"/>
          <w:szCs w:val="28"/>
        </w:rPr>
        <w:t>设立多个家事特色功能室</w:t>
      </w:r>
    </w:p>
    <w:p w:rsidR="00225C4F" w:rsidRDefault="001935FC">
      <w:pPr>
        <w:spacing w:line="560" w:lineRule="exact"/>
        <w:ind w:firstLine="630"/>
        <w:jc w:val="left"/>
        <w:rPr>
          <w:rFonts w:asciiTheme="minorEastAsia" w:hAnsiTheme="minorEastAsia" w:cs="宋体"/>
          <w:sz w:val="28"/>
          <w:szCs w:val="28"/>
        </w:rPr>
      </w:pPr>
      <w:r>
        <w:rPr>
          <w:rFonts w:asciiTheme="minorEastAsia" w:hAnsiTheme="minorEastAsia" w:cs="宋体" w:hint="eastAsia"/>
          <w:sz w:val="28"/>
          <w:szCs w:val="28"/>
        </w:rPr>
        <w:t>基于家事纠纷案件的考虑，东关法庭设立了心情平复室、亲情港湾、心灵驿站等多个功能室。在心情平复室内，为了更好的缓解家庭成员之间的关系，我们用通俗易懂的语言制作文字展板进行宣传，尤其是针对那些情绪波动大，可能出现当事人情绪激动，对于负面情绪较大的当事人及亲属，购置了橡皮人，可以对假人宣泄负面情绪，有助于平复其心情，理性的思考问题。在亲情港湾的室内，我们特意用粉色对墙面进行了粉刷，房间内配备儿童游乐设施，目的在于在温馨的环境下通过观察子女与父母之间的相处互动，分辨孩子与谁更亲近，也有利于在这个温馨的氛围中，减少对</w:t>
      </w:r>
      <w:r>
        <w:rPr>
          <w:rFonts w:asciiTheme="minorEastAsia" w:hAnsiTheme="minorEastAsia" w:cs="宋体" w:hint="eastAsia"/>
          <w:sz w:val="28"/>
          <w:szCs w:val="28"/>
        </w:rPr>
        <w:t>未成年人的伤害，拉近其与父母之间的距离。心灵驿站则是为了帮助在离婚案件中心理承受能力和抗压能力较弱的当事人，为做好心理疏导工作，我们专门聘请了具有国家资质的心理咨询师对案件当事人、当事人子女的心理问题进行心理疏导、心理治疗。</w:t>
      </w:r>
    </w:p>
    <w:p w:rsidR="00225C4F" w:rsidRDefault="001935FC">
      <w:pPr>
        <w:spacing w:line="560" w:lineRule="exact"/>
        <w:ind w:firstLineChars="200" w:firstLine="560"/>
        <w:rPr>
          <w:rFonts w:asciiTheme="minorEastAsia" w:hAnsiTheme="minorEastAsia" w:cs="宋体"/>
          <w:sz w:val="28"/>
          <w:szCs w:val="28"/>
        </w:rPr>
      </w:pPr>
      <w:r>
        <w:rPr>
          <w:rFonts w:asciiTheme="minorEastAsia" w:hAnsiTheme="minorEastAsia" w:cs="宋体" w:hint="eastAsia"/>
          <w:sz w:val="28"/>
          <w:szCs w:val="28"/>
        </w:rPr>
        <w:t>（三）强化落实未成年人保护制度</w:t>
      </w:r>
    </w:p>
    <w:p w:rsidR="00225C4F" w:rsidRDefault="001935FC">
      <w:pPr>
        <w:spacing w:line="560" w:lineRule="exact"/>
        <w:ind w:firstLineChars="200" w:firstLine="560"/>
        <w:rPr>
          <w:rFonts w:asciiTheme="minorEastAsia" w:hAnsiTheme="minorEastAsia" w:cs="宋体"/>
          <w:sz w:val="28"/>
          <w:szCs w:val="28"/>
        </w:rPr>
      </w:pPr>
      <w:r>
        <w:rPr>
          <w:rFonts w:asciiTheme="minorEastAsia" w:hAnsiTheme="minorEastAsia" w:cs="宋体" w:hint="eastAsia"/>
          <w:sz w:val="28"/>
          <w:szCs w:val="28"/>
        </w:rPr>
        <w:t>过去在婚姻家庭纠纷案件审理中大多侧重于对财产利益的保护，对于涉及未成年人身份利益和人格利益的保护不够重视。特别是对于其中未成年人的抚养费支付、抚养权的归属等问题更是与未成年人的利益息息相关。加强对未成年人利益的保护，制定并完善未成年人保护制度不仅是审判的</w:t>
      </w:r>
      <w:r>
        <w:rPr>
          <w:rFonts w:asciiTheme="minorEastAsia" w:hAnsiTheme="minorEastAsia" w:cs="宋体" w:hint="eastAsia"/>
          <w:sz w:val="28"/>
          <w:szCs w:val="28"/>
        </w:rPr>
        <w:t>需要，也是社会责任的要求。这就需要我们转变传统的审判理念，创新审判机制，最大限度化解家事矛盾，切实维护未成年人的合法权益。</w:t>
      </w:r>
    </w:p>
    <w:p w:rsidR="00225C4F" w:rsidRDefault="001935FC">
      <w:pPr>
        <w:spacing w:line="560" w:lineRule="exact"/>
        <w:ind w:firstLineChars="200" w:firstLine="560"/>
        <w:rPr>
          <w:rFonts w:asciiTheme="minorEastAsia" w:hAnsiTheme="minorEastAsia" w:cs="宋体"/>
          <w:sz w:val="28"/>
          <w:szCs w:val="28"/>
        </w:rPr>
      </w:pPr>
      <w:r>
        <w:rPr>
          <w:rFonts w:asciiTheme="minorEastAsia" w:hAnsiTheme="minorEastAsia" w:cs="宋体" w:hint="eastAsia"/>
          <w:sz w:val="28"/>
          <w:szCs w:val="28"/>
        </w:rPr>
        <w:t>1</w:t>
      </w:r>
      <w:r>
        <w:rPr>
          <w:rFonts w:asciiTheme="minorEastAsia" w:hAnsiTheme="minorEastAsia" w:cs="宋体" w:hint="eastAsia"/>
          <w:sz w:val="28"/>
          <w:szCs w:val="28"/>
        </w:rPr>
        <w:t>、充分尊重未成年人真实意愿</w:t>
      </w:r>
    </w:p>
    <w:p w:rsidR="00225C4F" w:rsidRDefault="001935FC">
      <w:pPr>
        <w:spacing w:line="560" w:lineRule="exact"/>
        <w:rPr>
          <w:rFonts w:asciiTheme="minorEastAsia" w:hAnsiTheme="minorEastAsia" w:cs="宋体"/>
          <w:sz w:val="28"/>
          <w:szCs w:val="28"/>
        </w:rPr>
      </w:pPr>
      <w:r>
        <w:rPr>
          <w:rFonts w:asciiTheme="minorEastAsia" w:hAnsiTheme="minorEastAsia" w:cs="宋体" w:hint="eastAsia"/>
          <w:sz w:val="28"/>
          <w:szCs w:val="28"/>
        </w:rPr>
        <w:lastRenderedPageBreak/>
        <w:t xml:space="preserve">    </w:t>
      </w:r>
      <w:r>
        <w:rPr>
          <w:rFonts w:asciiTheme="minorEastAsia" w:hAnsiTheme="minorEastAsia" w:cs="宋体" w:hint="eastAsia"/>
          <w:sz w:val="28"/>
          <w:szCs w:val="28"/>
        </w:rPr>
        <w:t>在婚姻家庭纠纷案件中，除了以未成年人名义单独起诉的抚养费案件外，诉讼的双方当事人均为父母双方，未成年人一般不具备诉讼主体地位。但是案件审理过程仍旧会关系到未成年人的切身利益，特别是未成年人跟随父亲或母亲共同生活是直接关系到未成年人身心健康发展和健康学习生活的重要问题。对于已满八周岁的未成年人，法院在裁判抚养权归属问题时应当尊重未成年人的真实意愿。关</w:t>
      </w:r>
      <w:r>
        <w:rPr>
          <w:rFonts w:asciiTheme="minorEastAsia" w:hAnsiTheme="minorEastAsia" w:cs="宋体" w:hint="eastAsia"/>
          <w:sz w:val="28"/>
          <w:szCs w:val="28"/>
        </w:rPr>
        <w:t>于了解未成年人真实意愿的方式和途径，要注意观察每一个未成年人的性格特点，有针对性地选取家事调查、直接询问、心理疏导的方式，以避免对未成年人的健康发展造成心理创伤。</w:t>
      </w:r>
    </w:p>
    <w:p w:rsidR="00225C4F" w:rsidRDefault="001935FC">
      <w:pPr>
        <w:spacing w:line="560" w:lineRule="exact"/>
        <w:ind w:firstLineChars="200" w:firstLine="560"/>
        <w:rPr>
          <w:rFonts w:asciiTheme="minorEastAsia" w:hAnsiTheme="minorEastAsia" w:cs="宋体"/>
          <w:sz w:val="28"/>
          <w:szCs w:val="28"/>
        </w:rPr>
      </w:pPr>
      <w:r>
        <w:rPr>
          <w:rFonts w:asciiTheme="minorEastAsia" w:hAnsiTheme="minorEastAsia" w:cs="宋体" w:hint="eastAsia"/>
          <w:sz w:val="28"/>
          <w:szCs w:val="28"/>
        </w:rPr>
        <w:t>2</w:t>
      </w:r>
      <w:r>
        <w:rPr>
          <w:rFonts w:asciiTheme="minorEastAsia" w:hAnsiTheme="minorEastAsia" w:cs="宋体" w:hint="eastAsia"/>
          <w:sz w:val="28"/>
          <w:szCs w:val="28"/>
        </w:rPr>
        <w:t>、注重未成年人隐私保护</w:t>
      </w:r>
    </w:p>
    <w:p w:rsidR="00225C4F" w:rsidRDefault="001935FC">
      <w:pPr>
        <w:spacing w:line="560" w:lineRule="exact"/>
        <w:rPr>
          <w:rFonts w:asciiTheme="minorEastAsia" w:hAnsiTheme="minorEastAsia" w:cs="宋体"/>
          <w:sz w:val="28"/>
          <w:szCs w:val="28"/>
        </w:rPr>
      </w:pPr>
      <w:r>
        <w:rPr>
          <w:rFonts w:asciiTheme="minorEastAsia" w:hAnsiTheme="minorEastAsia" w:cs="宋体" w:hint="eastAsia"/>
          <w:sz w:val="28"/>
          <w:szCs w:val="28"/>
        </w:rPr>
        <w:t xml:space="preserve">    </w:t>
      </w:r>
      <w:r>
        <w:rPr>
          <w:rFonts w:asciiTheme="minorEastAsia" w:hAnsiTheme="minorEastAsia" w:cs="宋体" w:hint="eastAsia"/>
          <w:sz w:val="28"/>
          <w:szCs w:val="28"/>
        </w:rPr>
        <w:t>未成年人的保护工作是整个社会的责任，就法院审理案件而言，对于涉未成年人的婚姻家庭纠纷案件，尤其要注意其敏感性和特殊性，加强对未成年人的保护是法院的社会责任。在涉未成年人的婚姻家庭纠纷案件审理过程中不仅要注意保护未成年人的信息不被泄露也要致力于保护未成年人的合法权益。具体体现为涉及未成年人的案件不论是抚养费纠纷还是</w:t>
      </w:r>
      <w:r>
        <w:rPr>
          <w:rFonts w:asciiTheme="minorEastAsia" w:hAnsiTheme="minorEastAsia" w:cs="宋体" w:hint="eastAsia"/>
          <w:sz w:val="28"/>
          <w:szCs w:val="28"/>
        </w:rPr>
        <w:t>变更抚养关系纠纷，一般不公开开庭审理，且裁判生效后此类案件的裁判文书一般不予公开。另外即使未成年人不是案件的当事人，也应当在法律文书公开上网时隐去未成年人的个人信息。</w:t>
      </w:r>
    </w:p>
    <w:p w:rsidR="00225C4F" w:rsidRDefault="001935FC">
      <w:pPr>
        <w:numPr>
          <w:ilvl w:val="0"/>
          <w:numId w:val="3"/>
        </w:numPr>
        <w:spacing w:line="560" w:lineRule="exact"/>
        <w:ind w:firstLine="560"/>
        <w:rPr>
          <w:rFonts w:asciiTheme="minorEastAsia" w:hAnsiTheme="minorEastAsia" w:cs="宋体"/>
          <w:b/>
          <w:sz w:val="28"/>
          <w:szCs w:val="28"/>
        </w:rPr>
      </w:pPr>
      <w:r>
        <w:rPr>
          <w:rFonts w:asciiTheme="minorEastAsia" w:hAnsiTheme="minorEastAsia" w:cs="宋体" w:hint="eastAsia"/>
          <w:b/>
          <w:sz w:val="28"/>
          <w:szCs w:val="28"/>
        </w:rPr>
        <w:t>更新继承纠纷案件司法审判理念</w:t>
      </w:r>
    </w:p>
    <w:p w:rsidR="00225C4F" w:rsidRDefault="001935FC">
      <w:pPr>
        <w:spacing w:line="560" w:lineRule="exact"/>
        <w:ind w:firstLineChars="200" w:firstLine="560"/>
        <w:rPr>
          <w:rFonts w:asciiTheme="minorEastAsia" w:hAnsiTheme="minorEastAsia" w:cs="宋体"/>
          <w:sz w:val="28"/>
          <w:szCs w:val="28"/>
        </w:rPr>
      </w:pPr>
      <w:r>
        <w:rPr>
          <w:rFonts w:asciiTheme="minorEastAsia" w:hAnsiTheme="minorEastAsia" w:cs="宋体" w:hint="eastAsia"/>
          <w:sz w:val="28"/>
          <w:szCs w:val="28"/>
        </w:rPr>
        <w:t>随着中国法治的发展，《继承法》到《民法典》中继承编的变化，也给当前法院处理继承纠纷案件带来了许多新挑战。相较于《继承法》而言《民法典》中新增的继承部分的变化也为传统继承纠纷案件司法审判理念带来了新的冲击。对于新的遗嘱类型、遗嘱效力问题认定及</w:t>
      </w:r>
      <w:r>
        <w:rPr>
          <w:rFonts w:asciiTheme="minorEastAsia" w:hAnsiTheme="minorEastAsia" w:cs="宋体" w:hint="eastAsia"/>
          <w:sz w:val="28"/>
          <w:szCs w:val="28"/>
        </w:rPr>
        <w:lastRenderedPageBreak/>
        <w:t>必留份制度等也是当前继承案件中必须重视的内容。这就需要我们更新继承纠纷案件</w:t>
      </w:r>
      <w:r>
        <w:rPr>
          <w:rFonts w:asciiTheme="minorEastAsia" w:hAnsiTheme="minorEastAsia" w:cs="宋体" w:hint="eastAsia"/>
          <w:sz w:val="28"/>
          <w:szCs w:val="28"/>
        </w:rPr>
        <w:t>司法审判理念，紧跟新型遗嘱形式的步伐，积极探索遗嘱效力的司法认定标准。</w:t>
      </w:r>
    </w:p>
    <w:p w:rsidR="00225C4F" w:rsidRDefault="001935FC">
      <w:pPr>
        <w:numPr>
          <w:ilvl w:val="0"/>
          <w:numId w:val="5"/>
        </w:numPr>
        <w:spacing w:line="560" w:lineRule="exact"/>
        <w:ind w:left="560"/>
        <w:rPr>
          <w:rFonts w:asciiTheme="minorEastAsia" w:hAnsiTheme="minorEastAsia" w:cs="宋体"/>
          <w:sz w:val="28"/>
          <w:szCs w:val="28"/>
        </w:rPr>
      </w:pPr>
      <w:r>
        <w:rPr>
          <w:rFonts w:asciiTheme="minorEastAsia" w:hAnsiTheme="minorEastAsia" w:cs="宋体" w:hint="eastAsia"/>
          <w:sz w:val="28"/>
          <w:szCs w:val="28"/>
        </w:rPr>
        <w:t>加强民法典普法宣传</w:t>
      </w:r>
    </w:p>
    <w:p w:rsidR="00225C4F" w:rsidRDefault="001935FC">
      <w:pPr>
        <w:spacing w:line="560" w:lineRule="exact"/>
        <w:ind w:firstLine="560"/>
        <w:rPr>
          <w:rFonts w:asciiTheme="minorEastAsia" w:hAnsiTheme="minorEastAsia" w:cs="宋体"/>
          <w:sz w:val="28"/>
          <w:szCs w:val="28"/>
        </w:rPr>
      </w:pPr>
      <w:r>
        <w:rPr>
          <w:rFonts w:asciiTheme="minorEastAsia" w:hAnsiTheme="minorEastAsia" w:cs="宋体" w:hint="eastAsia"/>
          <w:sz w:val="28"/>
          <w:szCs w:val="28"/>
        </w:rPr>
        <w:t>当前继承纠纷案件类型主要为法定继承纠纷及遗嘱继承纠纷。分析法定继承纠纷多发的原因主要系被继承人缺乏生前设立遗嘱处分财产的意识及各继承人缺乏法律常识不能公平合理分配遗产。遗嘱继承纠纷诱发冲突的原因则是被继承人设立的遗嘱形式及内容存在瑕疵或者效力问题，进而引发矛盾。</w:t>
      </w:r>
      <w:r>
        <w:rPr>
          <w:rFonts w:asciiTheme="minorEastAsia" w:hAnsiTheme="minorEastAsia" w:cs="宋体" w:hint="eastAsia"/>
          <w:sz w:val="28"/>
          <w:szCs w:val="28"/>
        </w:rPr>
        <w:t>2021</w:t>
      </w:r>
      <w:r>
        <w:rPr>
          <w:rFonts w:asciiTheme="minorEastAsia" w:hAnsiTheme="minorEastAsia" w:cs="宋体" w:hint="eastAsia"/>
          <w:sz w:val="28"/>
          <w:szCs w:val="28"/>
        </w:rPr>
        <w:t>年施行的《民法典》对于继承问题进行了全面具体的规定，加强《民法典》的普法宣传，进而发挥司法的指导和引领作用，指导被继承人树立设立合法有效遗嘱的意识，引</w:t>
      </w:r>
      <w:r>
        <w:rPr>
          <w:rFonts w:asciiTheme="minorEastAsia" w:hAnsiTheme="minorEastAsia" w:cs="宋体" w:hint="eastAsia"/>
          <w:sz w:val="28"/>
          <w:szCs w:val="28"/>
        </w:rPr>
        <w:t>领继承人在对待遗产问题上能够做到互谅互让、公平合理分割遗产，从而真正化解继承纠纷，做到家庭和睦、社会和谐。</w:t>
      </w:r>
    </w:p>
    <w:p w:rsidR="00225C4F" w:rsidRDefault="001935FC">
      <w:pPr>
        <w:numPr>
          <w:ilvl w:val="0"/>
          <w:numId w:val="5"/>
        </w:numPr>
        <w:spacing w:line="560" w:lineRule="exact"/>
        <w:ind w:left="560"/>
        <w:rPr>
          <w:rFonts w:asciiTheme="minorEastAsia" w:hAnsiTheme="minorEastAsia" w:cs="宋体"/>
          <w:sz w:val="28"/>
          <w:szCs w:val="28"/>
        </w:rPr>
      </w:pPr>
      <w:r>
        <w:rPr>
          <w:rFonts w:asciiTheme="minorEastAsia" w:hAnsiTheme="minorEastAsia" w:cs="宋体" w:hint="eastAsia"/>
          <w:sz w:val="28"/>
          <w:szCs w:val="28"/>
        </w:rPr>
        <w:t>推动提升当事人规范订立遗嘱的能力</w:t>
      </w:r>
    </w:p>
    <w:p w:rsidR="00225C4F" w:rsidRDefault="001935FC">
      <w:pPr>
        <w:spacing w:line="560" w:lineRule="exact"/>
        <w:ind w:firstLineChars="200" w:firstLine="560"/>
        <w:rPr>
          <w:rFonts w:asciiTheme="minorEastAsia" w:hAnsiTheme="minorEastAsia" w:cs="宋体"/>
          <w:sz w:val="28"/>
          <w:szCs w:val="28"/>
        </w:rPr>
      </w:pPr>
      <w:r>
        <w:rPr>
          <w:rFonts w:asciiTheme="minorEastAsia" w:hAnsiTheme="minorEastAsia" w:cs="宋体" w:hint="eastAsia"/>
          <w:sz w:val="28"/>
          <w:szCs w:val="28"/>
        </w:rPr>
        <w:t>被继承人通过订立遗嘱的方式处分个人财产不失为一种减少遗产分配争议的途径，但是实际审理的遗嘱继承案件中因遗嘱形式及效力产生争议的纠纷不在少数且问题较为突出。究其根本原因系被继承人缺乏规范订立遗嘱的能力。为提升当事人规范设立遗嘱的能力，可以通过围绕“我为群众办实事”活动，延伸司法工作职能，向群众提示法律风险，提示设立遗嘱中需要注意的问题，比如遗嘱人要具备完全行为能力、遗嘱</w:t>
      </w:r>
      <w:r>
        <w:rPr>
          <w:rFonts w:asciiTheme="minorEastAsia" w:hAnsiTheme="minorEastAsia" w:cs="宋体" w:hint="eastAsia"/>
          <w:sz w:val="28"/>
          <w:szCs w:val="28"/>
        </w:rPr>
        <w:t>形式须符合法律规定等。</w:t>
      </w:r>
    </w:p>
    <w:p w:rsidR="00225C4F" w:rsidRDefault="00225C4F">
      <w:pPr>
        <w:spacing w:line="560" w:lineRule="exact"/>
        <w:ind w:firstLineChars="200" w:firstLine="643"/>
        <w:jc w:val="center"/>
        <w:rPr>
          <w:rFonts w:asciiTheme="minorEastAsia" w:hAnsiTheme="minorEastAsia" w:cs="宋体"/>
          <w:b/>
          <w:sz w:val="32"/>
          <w:szCs w:val="32"/>
        </w:rPr>
      </w:pPr>
    </w:p>
    <w:p w:rsidR="00225C4F" w:rsidRDefault="00225C4F">
      <w:pPr>
        <w:spacing w:line="560" w:lineRule="exact"/>
        <w:ind w:firstLineChars="200" w:firstLine="643"/>
        <w:jc w:val="center"/>
        <w:rPr>
          <w:rFonts w:asciiTheme="minorEastAsia" w:hAnsiTheme="minorEastAsia" w:cs="宋体"/>
          <w:b/>
          <w:sz w:val="32"/>
          <w:szCs w:val="32"/>
        </w:rPr>
      </w:pPr>
    </w:p>
    <w:p w:rsidR="00225C4F" w:rsidRDefault="001935FC">
      <w:pPr>
        <w:spacing w:line="560" w:lineRule="exact"/>
        <w:ind w:firstLineChars="200" w:firstLine="643"/>
        <w:jc w:val="center"/>
        <w:rPr>
          <w:rFonts w:asciiTheme="minorEastAsia" w:hAnsiTheme="minorEastAsia" w:cs="宋体"/>
          <w:b/>
          <w:sz w:val="32"/>
          <w:szCs w:val="32"/>
        </w:rPr>
      </w:pPr>
      <w:r>
        <w:rPr>
          <w:rFonts w:asciiTheme="minorEastAsia" w:hAnsiTheme="minorEastAsia" w:cs="宋体" w:hint="eastAsia"/>
          <w:b/>
          <w:sz w:val="32"/>
          <w:szCs w:val="32"/>
        </w:rPr>
        <w:t>结语</w:t>
      </w:r>
    </w:p>
    <w:p w:rsidR="00225C4F" w:rsidRDefault="00225C4F">
      <w:pPr>
        <w:spacing w:line="560" w:lineRule="exact"/>
        <w:ind w:firstLineChars="200" w:firstLine="560"/>
        <w:jc w:val="center"/>
        <w:rPr>
          <w:rFonts w:asciiTheme="minorEastAsia" w:hAnsiTheme="minorEastAsia" w:cs="宋体"/>
          <w:sz w:val="28"/>
          <w:szCs w:val="28"/>
        </w:rPr>
      </w:pPr>
    </w:p>
    <w:p w:rsidR="00225C4F" w:rsidRDefault="001935FC">
      <w:pPr>
        <w:spacing w:line="560" w:lineRule="exact"/>
        <w:ind w:firstLineChars="200" w:firstLine="560"/>
        <w:rPr>
          <w:rFonts w:asciiTheme="minorEastAsia" w:hAnsiTheme="minorEastAsia" w:cs="宋体"/>
          <w:sz w:val="28"/>
          <w:szCs w:val="28"/>
        </w:rPr>
      </w:pPr>
      <w:r>
        <w:rPr>
          <w:rFonts w:asciiTheme="minorEastAsia" w:hAnsiTheme="minorEastAsia" w:cs="宋体" w:hint="eastAsia"/>
          <w:sz w:val="28"/>
          <w:szCs w:val="28"/>
        </w:rPr>
        <w:t>东关法庭作为南阳市宛城区法院新设立的家事纠纷案件的专业化审判团队，是宛城区人民法院针对家事纠纷审判改革的积极探索。通过对近半年专业审判工作进行总结，也在一定程度上把握住了家事审判案件的特点和规律，取得了一定的成绩。当然也深入剖析了各类家事纠纷的特点，发现了在审判工作中所遇到的问题和困境，对于所遇到的问题和困境也提出了一些想法，虽然尚有不足，但也彰显了东关法庭对家事审判改革创新发展的期待，也希望在今后的审判工作中让群众不仅感受到法律的公平正义，也能感受到法律的温度和柔情。</w:t>
      </w:r>
    </w:p>
    <w:p w:rsidR="00225C4F" w:rsidRDefault="00225C4F">
      <w:pPr>
        <w:spacing w:line="560" w:lineRule="exact"/>
        <w:rPr>
          <w:rFonts w:asciiTheme="minorEastAsia" w:hAnsiTheme="minorEastAsia" w:cs="宋体"/>
          <w:sz w:val="28"/>
          <w:szCs w:val="28"/>
        </w:rPr>
      </w:pPr>
    </w:p>
    <w:p w:rsidR="00225C4F" w:rsidRDefault="00225C4F">
      <w:pPr>
        <w:spacing w:line="560" w:lineRule="exact"/>
        <w:rPr>
          <w:rFonts w:asciiTheme="minorEastAsia" w:hAnsiTheme="minorEastAsia" w:cs="宋体"/>
          <w:sz w:val="28"/>
          <w:szCs w:val="28"/>
        </w:rPr>
      </w:pPr>
    </w:p>
    <w:p w:rsidR="00225C4F" w:rsidRDefault="00225C4F">
      <w:pPr>
        <w:spacing w:line="560" w:lineRule="exact"/>
        <w:rPr>
          <w:rFonts w:asciiTheme="minorEastAsia" w:hAnsiTheme="minorEastAsia" w:cs="宋体"/>
          <w:sz w:val="28"/>
          <w:szCs w:val="28"/>
        </w:rPr>
      </w:pPr>
    </w:p>
    <w:p w:rsidR="00225C4F" w:rsidRDefault="00225C4F">
      <w:pPr>
        <w:spacing w:line="560" w:lineRule="exact"/>
        <w:rPr>
          <w:rFonts w:asciiTheme="minorEastAsia" w:hAnsiTheme="minorEastAsia" w:cs="宋体"/>
          <w:sz w:val="28"/>
          <w:szCs w:val="28"/>
        </w:rPr>
      </w:pPr>
    </w:p>
    <w:p w:rsidR="00225C4F" w:rsidRDefault="00225C4F">
      <w:pPr>
        <w:spacing w:line="560" w:lineRule="exact"/>
        <w:rPr>
          <w:rFonts w:asciiTheme="minorEastAsia" w:hAnsiTheme="minorEastAsia" w:cs="宋体"/>
          <w:sz w:val="28"/>
          <w:szCs w:val="28"/>
        </w:rPr>
      </w:pPr>
    </w:p>
    <w:p w:rsidR="00225C4F" w:rsidRDefault="00225C4F">
      <w:pPr>
        <w:spacing w:line="560" w:lineRule="exact"/>
        <w:rPr>
          <w:rFonts w:asciiTheme="minorEastAsia" w:hAnsiTheme="minorEastAsia" w:cs="宋体"/>
          <w:sz w:val="28"/>
          <w:szCs w:val="28"/>
        </w:rPr>
      </w:pPr>
    </w:p>
    <w:p w:rsidR="00225C4F" w:rsidRDefault="00225C4F">
      <w:pPr>
        <w:spacing w:line="560" w:lineRule="exact"/>
        <w:rPr>
          <w:rFonts w:asciiTheme="minorEastAsia" w:hAnsiTheme="minorEastAsia" w:cs="宋体"/>
          <w:sz w:val="28"/>
          <w:szCs w:val="28"/>
        </w:rPr>
      </w:pPr>
    </w:p>
    <w:p w:rsidR="00225C4F" w:rsidRDefault="00225C4F">
      <w:pPr>
        <w:spacing w:line="560" w:lineRule="exact"/>
        <w:rPr>
          <w:rFonts w:asciiTheme="minorEastAsia" w:hAnsiTheme="minorEastAsia" w:cs="宋体"/>
          <w:sz w:val="28"/>
          <w:szCs w:val="28"/>
        </w:rPr>
      </w:pPr>
    </w:p>
    <w:p w:rsidR="00225C4F" w:rsidRDefault="00225C4F">
      <w:pPr>
        <w:spacing w:line="560" w:lineRule="exact"/>
        <w:rPr>
          <w:rFonts w:asciiTheme="minorEastAsia" w:hAnsiTheme="minorEastAsia" w:cs="宋体"/>
          <w:sz w:val="28"/>
          <w:szCs w:val="28"/>
        </w:rPr>
      </w:pPr>
    </w:p>
    <w:p w:rsidR="00225C4F" w:rsidRDefault="00225C4F">
      <w:pPr>
        <w:spacing w:line="560" w:lineRule="exact"/>
        <w:rPr>
          <w:rFonts w:asciiTheme="minorEastAsia" w:hAnsiTheme="minorEastAsia" w:cs="宋体"/>
          <w:sz w:val="28"/>
          <w:szCs w:val="28"/>
        </w:rPr>
      </w:pPr>
    </w:p>
    <w:p w:rsidR="00225C4F" w:rsidRDefault="00225C4F">
      <w:pPr>
        <w:spacing w:line="560" w:lineRule="exact"/>
        <w:rPr>
          <w:rFonts w:asciiTheme="minorEastAsia" w:hAnsiTheme="minorEastAsia" w:cs="宋体"/>
          <w:sz w:val="28"/>
          <w:szCs w:val="28"/>
        </w:rPr>
      </w:pPr>
    </w:p>
    <w:p w:rsidR="00225C4F" w:rsidRDefault="00225C4F">
      <w:pPr>
        <w:spacing w:line="560" w:lineRule="exact"/>
        <w:rPr>
          <w:rFonts w:asciiTheme="minorEastAsia" w:hAnsiTheme="minorEastAsia" w:cs="宋体"/>
          <w:sz w:val="28"/>
          <w:szCs w:val="28"/>
        </w:rPr>
      </w:pPr>
    </w:p>
    <w:p w:rsidR="00225C4F" w:rsidRDefault="00225C4F">
      <w:pPr>
        <w:spacing w:line="560" w:lineRule="exact"/>
        <w:rPr>
          <w:rFonts w:asciiTheme="minorEastAsia" w:hAnsiTheme="minorEastAsia" w:cs="宋体"/>
          <w:sz w:val="28"/>
          <w:szCs w:val="28"/>
        </w:rPr>
      </w:pPr>
    </w:p>
    <w:p w:rsidR="00225C4F" w:rsidRDefault="00225C4F">
      <w:pPr>
        <w:spacing w:line="560" w:lineRule="exact"/>
        <w:rPr>
          <w:rFonts w:asciiTheme="minorEastAsia" w:hAnsiTheme="minorEastAsia" w:cs="宋体"/>
          <w:sz w:val="28"/>
          <w:szCs w:val="28"/>
        </w:rPr>
      </w:pPr>
    </w:p>
    <w:p w:rsidR="00225C4F" w:rsidRDefault="00225C4F">
      <w:pPr>
        <w:spacing w:line="560" w:lineRule="exact"/>
        <w:rPr>
          <w:rFonts w:asciiTheme="minorEastAsia" w:hAnsiTheme="minorEastAsia" w:cs="宋体"/>
          <w:sz w:val="28"/>
          <w:szCs w:val="28"/>
        </w:rPr>
      </w:pPr>
    </w:p>
    <w:p w:rsidR="00225C4F" w:rsidRDefault="001935FC">
      <w:pPr>
        <w:rPr>
          <w:bCs/>
        </w:rPr>
      </w:pPr>
      <w:r>
        <w:rPr>
          <w:rFonts w:ascii="宋体" w:eastAsia="宋体" w:hAnsi="宋体" w:cs="宋体" w:hint="eastAsia"/>
          <w:sz w:val="28"/>
          <w:szCs w:val="28"/>
        </w:rPr>
        <w:t>附件一</w:t>
      </w:r>
      <w:r>
        <w:rPr>
          <w:rFonts w:ascii="宋体" w:eastAsia="宋体" w:hAnsi="宋体" w:cs="宋体" w:hint="eastAsia"/>
          <w:sz w:val="28"/>
          <w:szCs w:val="28"/>
        </w:rPr>
        <w:t xml:space="preserve">               </w:t>
      </w:r>
      <w:r>
        <w:rPr>
          <w:rStyle w:val="a8"/>
          <w:rFonts w:hint="eastAsia"/>
          <w:b w:val="0"/>
          <w:bCs/>
          <w:color w:val="020202"/>
          <w:sz w:val="24"/>
        </w:rPr>
        <w:t>南阳市宛城区</w:t>
      </w:r>
      <w:r>
        <w:rPr>
          <w:rStyle w:val="a8"/>
          <w:b w:val="0"/>
          <w:bCs/>
          <w:color w:val="020202"/>
          <w:sz w:val="24"/>
        </w:rPr>
        <w:t>人民法院</w:t>
      </w:r>
    </w:p>
    <w:p w:rsidR="00225C4F" w:rsidRDefault="001935FC">
      <w:pPr>
        <w:pStyle w:val="a6"/>
        <w:widowControl/>
        <w:spacing w:beforeAutospacing="0" w:afterAutospacing="0"/>
        <w:jc w:val="center"/>
      </w:pPr>
      <w:r>
        <w:rPr>
          <w:rStyle w:val="a8"/>
          <w:rFonts w:hint="eastAsia"/>
          <w:b w:val="0"/>
          <w:bCs/>
          <w:color w:val="020202"/>
        </w:rPr>
        <w:lastRenderedPageBreak/>
        <w:t xml:space="preserve">      </w:t>
      </w:r>
      <w:r>
        <w:rPr>
          <w:rStyle w:val="a8"/>
          <w:b w:val="0"/>
          <w:bCs/>
          <w:color w:val="020202"/>
        </w:rPr>
        <w:t>离婚案件夫妻共同财产申报表</w:t>
      </w:r>
      <w:r>
        <w:rPr>
          <w:color w:val="020202"/>
        </w:rPr>
        <w:t>              </w:t>
      </w:r>
    </w:p>
    <w:p w:rsidR="00225C4F" w:rsidRDefault="001935FC">
      <w:pPr>
        <w:pStyle w:val="a6"/>
        <w:widowControl/>
        <w:spacing w:beforeAutospacing="0" w:afterAutospacing="0"/>
        <w:jc w:val="right"/>
        <w:rPr>
          <w:rFonts w:ascii="Microsoft YaHei UI" w:eastAsia="Microsoft YaHei UI" w:hAnsi="Microsoft YaHei UI" w:cs="Microsoft YaHei UI"/>
          <w:color w:val="333333"/>
          <w:spacing w:val="7"/>
          <w:sz w:val="19"/>
          <w:szCs w:val="19"/>
        </w:rPr>
      </w:pPr>
      <w:r>
        <w:rPr>
          <w:sz w:val="21"/>
          <w:szCs w:val="21"/>
        </w:rPr>
        <w:t xml:space="preserve">  </w:t>
      </w:r>
      <w:r>
        <w:t>            </w:t>
      </w:r>
    </w:p>
    <w:p w:rsidR="00225C4F" w:rsidRDefault="00225C4F">
      <w:pPr>
        <w:pStyle w:val="a6"/>
        <w:widowControl/>
        <w:shd w:val="clear" w:color="auto" w:fill="FFFFFF"/>
        <w:spacing w:beforeAutospacing="0" w:afterAutospacing="0"/>
        <w:jc w:val="both"/>
        <w:rPr>
          <w:rStyle w:val="a8"/>
          <w:rFonts w:ascii="宋体" w:eastAsia="宋体" w:hAnsi="宋体" w:cs="宋体"/>
          <w:b w:val="0"/>
          <w:color w:val="000000"/>
          <w:spacing w:val="7"/>
          <w:sz w:val="19"/>
          <w:szCs w:val="19"/>
          <w:shd w:val="clear" w:color="auto" w:fill="FFFFFF"/>
        </w:rPr>
      </w:pPr>
    </w:p>
    <w:p w:rsidR="00225C4F" w:rsidRDefault="001935FC">
      <w:pPr>
        <w:pStyle w:val="a6"/>
        <w:widowControl/>
        <w:shd w:val="clear" w:color="auto" w:fill="FFFFFF"/>
        <w:spacing w:beforeAutospacing="0" w:afterAutospacing="0"/>
        <w:jc w:val="both"/>
        <w:rPr>
          <w:rFonts w:ascii="Microsoft YaHei UI" w:eastAsia="Microsoft YaHei UI" w:hAnsi="Microsoft YaHei UI" w:cs="Microsoft YaHei UI"/>
          <w:color w:val="000000"/>
          <w:spacing w:val="7"/>
          <w:sz w:val="25"/>
          <w:szCs w:val="25"/>
        </w:rPr>
      </w:pPr>
      <w:r>
        <w:rPr>
          <w:rStyle w:val="a8"/>
          <w:rFonts w:ascii="宋体" w:eastAsia="宋体" w:hAnsi="宋体" w:cs="宋体" w:hint="eastAsia"/>
          <w:b w:val="0"/>
          <w:color w:val="000000"/>
          <w:spacing w:val="7"/>
          <w:sz w:val="19"/>
          <w:szCs w:val="19"/>
          <w:shd w:val="clear" w:color="auto" w:fill="FFFFFF"/>
        </w:rPr>
        <w:t>一、填报人基本情况</w:t>
      </w:r>
    </w:p>
    <w:tbl>
      <w:tblPr>
        <w:tblW w:w="8503" w:type="dxa"/>
        <w:shd w:val="clear" w:color="auto" w:fill="FFFFFF"/>
        <w:tblCellMar>
          <w:left w:w="0" w:type="dxa"/>
          <w:right w:w="0" w:type="dxa"/>
        </w:tblCellMar>
        <w:tblLook w:val="04A0"/>
      </w:tblPr>
      <w:tblGrid>
        <w:gridCol w:w="1007"/>
        <w:gridCol w:w="1248"/>
        <w:gridCol w:w="1186"/>
        <w:gridCol w:w="1187"/>
        <w:gridCol w:w="1937"/>
        <w:gridCol w:w="1938"/>
      </w:tblGrid>
      <w:tr w:rsidR="00225C4F">
        <w:tc>
          <w:tcPr>
            <w:tcW w:w="1007" w:type="dxa"/>
            <w:tcBorders>
              <w:top w:val="single" w:sz="4" w:space="0" w:color="auto"/>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18"/>
                <w:szCs w:val="18"/>
              </w:rPr>
            </w:pPr>
            <w:r>
              <w:rPr>
                <w:rFonts w:ascii="宋体" w:eastAsia="宋体" w:hAnsi="宋体" w:cs="宋体" w:hint="eastAsia"/>
                <w:color w:val="333333"/>
                <w:spacing w:val="7"/>
                <w:sz w:val="18"/>
                <w:szCs w:val="18"/>
              </w:rPr>
              <w:t>姓名</w:t>
            </w:r>
          </w:p>
        </w:tc>
        <w:tc>
          <w:tcPr>
            <w:tcW w:w="1248" w:type="dxa"/>
            <w:tcBorders>
              <w:top w:val="single" w:sz="4" w:space="0" w:color="auto"/>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225C4F">
            <w:pPr>
              <w:pStyle w:val="a6"/>
              <w:widowControl/>
              <w:wordWrap w:val="0"/>
              <w:spacing w:beforeAutospacing="0" w:afterAutospacing="0"/>
              <w:jc w:val="center"/>
              <w:rPr>
                <w:rFonts w:ascii="宋体" w:eastAsia="宋体" w:hAnsi="宋体" w:cs="宋体"/>
                <w:color w:val="333333"/>
                <w:spacing w:val="7"/>
                <w:sz w:val="18"/>
                <w:szCs w:val="18"/>
              </w:rPr>
            </w:pPr>
          </w:p>
        </w:tc>
        <w:tc>
          <w:tcPr>
            <w:tcW w:w="1186"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18"/>
                <w:szCs w:val="18"/>
              </w:rPr>
            </w:pPr>
            <w:r>
              <w:rPr>
                <w:rFonts w:ascii="宋体" w:eastAsia="宋体" w:hAnsi="宋体" w:cs="宋体" w:hint="eastAsia"/>
                <w:color w:val="333333"/>
                <w:spacing w:val="7"/>
                <w:sz w:val="18"/>
                <w:szCs w:val="18"/>
              </w:rPr>
              <w:t>性别</w:t>
            </w:r>
          </w:p>
        </w:tc>
        <w:tc>
          <w:tcPr>
            <w:tcW w:w="1187"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rsidR="00225C4F" w:rsidRDefault="00225C4F">
            <w:pPr>
              <w:pStyle w:val="a6"/>
              <w:widowControl/>
              <w:wordWrap w:val="0"/>
              <w:spacing w:beforeAutospacing="0" w:afterAutospacing="0"/>
              <w:jc w:val="center"/>
              <w:rPr>
                <w:rFonts w:ascii="宋体" w:eastAsia="宋体" w:hAnsi="宋体" w:cs="宋体"/>
                <w:color w:val="333333"/>
                <w:spacing w:val="7"/>
                <w:sz w:val="18"/>
                <w:szCs w:val="18"/>
              </w:rPr>
            </w:pPr>
          </w:p>
        </w:tc>
        <w:tc>
          <w:tcPr>
            <w:tcW w:w="1937"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18"/>
                <w:szCs w:val="18"/>
              </w:rPr>
            </w:pPr>
            <w:r>
              <w:rPr>
                <w:rFonts w:ascii="宋体" w:eastAsia="宋体" w:hAnsi="宋体" w:cs="宋体" w:hint="eastAsia"/>
                <w:color w:val="333333"/>
                <w:spacing w:val="7"/>
                <w:sz w:val="18"/>
                <w:szCs w:val="18"/>
              </w:rPr>
              <w:t>出生日期</w:t>
            </w:r>
          </w:p>
        </w:tc>
        <w:tc>
          <w:tcPr>
            <w:tcW w:w="1938"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rsidR="00225C4F" w:rsidRDefault="00225C4F">
            <w:pPr>
              <w:pStyle w:val="a6"/>
              <w:widowControl/>
              <w:wordWrap w:val="0"/>
              <w:spacing w:beforeAutospacing="0" w:afterAutospacing="0"/>
              <w:jc w:val="center"/>
              <w:rPr>
                <w:rFonts w:ascii="宋体" w:eastAsia="宋体" w:hAnsi="宋体" w:cs="宋体"/>
                <w:color w:val="333333"/>
                <w:spacing w:val="7"/>
                <w:sz w:val="18"/>
                <w:szCs w:val="18"/>
              </w:rPr>
            </w:pPr>
          </w:p>
        </w:tc>
      </w:tr>
      <w:tr w:rsidR="00225C4F">
        <w:trPr>
          <w:trHeight w:val="264"/>
        </w:trPr>
        <w:tc>
          <w:tcPr>
            <w:tcW w:w="1007" w:type="dxa"/>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18"/>
                <w:szCs w:val="18"/>
              </w:rPr>
            </w:pPr>
            <w:r>
              <w:rPr>
                <w:rFonts w:ascii="宋体" w:eastAsia="宋体" w:hAnsi="宋体" w:cs="宋体" w:hint="eastAsia"/>
                <w:color w:val="333333"/>
                <w:spacing w:val="7"/>
                <w:sz w:val="18"/>
                <w:szCs w:val="18"/>
              </w:rPr>
              <w:t>职业</w:t>
            </w:r>
          </w:p>
        </w:tc>
        <w:tc>
          <w:tcPr>
            <w:tcW w:w="1248" w:type="dxa"/>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225C4F">
            <w:pPr>
              <w:pStyle w:val="a6"/>
              <w:widowControl/>
              <w:wordWrap w:val="0"/>
              <w:spacing w:beforeAutospacing="0" w:afterAutospacing="0"/>
              <w:jc w:val="center"/>
              <w:rPr>
                <w:rFonts w:ascii="宋体" w:eastAsia="宋体" w:hAnsi="宋体" w:cs="宋体"/>
                <w:color w:val="333333"/>
                <w:spacing w:val="7"/>
                <w:sz w:val="18"/>
                <w:szCs w:val="18"/>
              </w:rPr>
            </w:pPr>
          </w:p>
        </w:tc>
        <w:tc>
          <w:tcPr>
            <w:tcW w:w="1186"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18"/>
                <w:szCs w:val="18"/>
              </w:rPr>
            </w:pPr>
            <w:r>
              <w:rPr>
                <w:rFonts w:ascii="宋体" w:eastAsia="宋体" w:hAnsi="宋体" w:cs="宋体" w:hint="eastAsia"/>
                <w:color w:val="333333"/>
                <w:spacing w:val="7"/>
                <w:sz w:val="18"/>
                <w:szCs w:val="18"/>
              </w:rPr>
              <w:t>结婚日期</w:t>
            </w:r>
          </w:p>
        </w:tc>
        <w:tc>
          <w:tcPr>
            <w:tcW w:w="1187"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pStyle w:val="a6"/>
              <w:widowControl/>
              <w:wordWrap w:val="0"/>
              <w:spacing w:beforeAutospacing="0" w:afterAutospacing="0"/>
              <w:jc w:val="center"/>
              <w:rPr>
                <w:rFonts w:ascii="宋体" w:eastAsia="宋体" w:hAnsi="宋体" w:cs="宋体"/>
                <w:color w:val="333333"/>
                <w:spacing w:val="7"/>
                <w:sz w:val="18"/>
                <w:szCs w:val="18"/>
              </w:rPr>
            </w:pPr>
          </w:p>
        </w:tc>
        <w:tc>
          <w:tcPr>
            <w:tcW w:w="1937"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18"/>
                <w:szCs w:val="18"/>
              </w:rPr>
            </w:pPr>
            <w:r>
              <w:rPr>
                <w:rFonts w:ascii="宋体" w:eastAsia="宋体" w:hAnsi="宋体" w:cs="宋体" w:hint="eastAsia"/>
                <w:color w:val="333333"/>
                <w:spacing w:val="7"/>
                <w:sz w:val="18"/>
                <w:szCs w:val="18"/>
              </w:rPr>
              <w:t>是否初婚</w:t>
            </w:r>
          </w:p>
        </w:tc>
        <w:tc>
          <w:tcPr>
            <w:tcW w:w="1938"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pStyle w:val="a6"/>
              <w:widowControl/>
              <w:wordWrap w:val="0"/>
              <w:spacing w:beforeAutospacing="0" w:afterAutospacing="0"/>
              <w:jc w:val="center"/>
              <w:rPr>
                <w:rFonts w:ascii="宋体" w:eastAsia="宋体" w:hAnsi="宋体" w:cs="宋体"/>
                <w:color w:val="333333"/>
                <w:spacing w:val="7"/>
                <w:sz w:val="18"/>
                <w:szCs w:val="18"/>
              </w:rPr>
            </w:pPr>
          </w:p>
        </w:tc>
      </w:tr>
      <w:tr w:rsidR="00225C4F">
        <w:trPr>
          <w:trHeight w:val="349"/>
        </w:trPr>
        <w:tc>
          <w:tcPr>
            <w:tcW w:w="1007" w:type="dxa"/>
            <w:vMerge w:val="restart"/>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both"/>
              <w:rPr>
                <w:rFonts w:ascii="宋体" w:eastAsia="宋体" w:hAnsi="宋体" w:cs="宋体"/>
                <w:sz w:val="18"/>
                <w:szCs w:val="18"/>
              </w:rPr>
            </w:pPr>
            <w:r>
              <w:rPr>
                <w:rFonts w:ascii="宋体" w:eastAsia="宋体" w:hAnsi="宋体" w:cs="宋体" w:hint="eastAsia"/>
                <w:color w:val="333333"/>
                <w:spacing w:val="7"/>
                <w:sz w:val="18"/>
                <w:szCs w:val="18"/>
              </w:rPr>
              <w:t>子女情况</w:t>
            </w:r>
          </w:p>
        </w:tc>
        <w:tc>
          <w:tcPr>
            <w:tcW w:w="1248"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18"/>
                <w:szCs w:val="18"/>
              </w:rPr>
            </w:pPr>
            <w:r>
              <w:rPr>
                <w:rFonts w:ascii="宋体" w:eastAsia="宋体" w:hAnsi="宋体" w:cs="宋体" w:hint="eastAsia"/>
                <w:color w:val="333333"/>
                <w:spacing w:val="7"/>
                <w:sz w:val="18"/>
                <w:szCs w:val="18"/>
              </w:rPr>
              <w:t>姓名</w:t>
            </w:r>
          </w:p>
        </w:tc>
        <w:tc>
          <w:tcPr>
            <w:tcW w:w="1186"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18"/>
                <w:szCs w:val="18"/>
              </w:rPr>
            </w:pPr>
            <w:r>
              <w:rPr>
                <w:rFonts w:ascii="宋体" w:eastAsia="宋体" w:hAnsi="宋体" w:cs="宋体" w:hint="eastAsia"/>
                <w:color w:val="333333"/>
                <w:spacing w:val="7"/>
                <w:sz w:val="18"/>
                <w:szCs w:val="18"/>
              </w:rPr>
              <w:t>性别</w:t>
            </w:r>
          </w:p>
        </w:tc>
        <w:tc>
          <w:tcPr>
            <w:tcW w:w="1187"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18"/>
                <w:szCs w:val="18"/>
              </w:rPr>
            </w:pPr>
            <w:r>
              <w:rPr>
                <w:rFonts w:ascii="宋体" w:eastAsia="宋体" w:hAnsi="宋体" w:cs="宋体" w:hint="eastAsia"/>
                <w:color w:val="333333"/>
                <w:spacing w:val="7"/>
                <w:sz w:val="18"/>
                <w:szCs w:val="18"/>
              </w:rPr>
              <w:t>出生日期</w:t>
            </w:r>
          </w:p>
        </w:tc>
        <w:tc>
          <w:tcPr>
            <w:tcW w:w="3875" w:type="dxa"/>
            <w:gridSpan w:val="2"/>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18"/>
                <w:szCs w:val="18"/>
              </w:rPr>
            </w:pPr>
            <w:r>
              <w:rPr>
                <w:rFonts w:ascii="宋体" w:eastAsia="宋体" w:hAnsi="宋体" w:cs="宋体" w:hint="eastAsia"/>
                <w:color w:val="333333"/>
                <w:spacing w:val="7"/>
                <w:sz w:val="18"/>
                <w:szCs w:val="18"/>
              </w:rPr>
              <w:t>就读或就业情况</w:t>
            </w:r>
          </w:p>
        </w:tc>
      </w:tr>
      <w:tr w:rsidR="00225C4F">
        <w:trPr>
          <w:trHeight w:val="320"/>
        </w:trPr>
        <w:tc>
          <w:tcPr>
            <w:tcW w:w="1007" w:type="dxa"/>
            <w:vMerge/>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225C4F">
            <w:pPr>
              <w:rPr>
                <w:rFonts w:ascii="宋体" w:eastAsia="宋体" w:hAnsi="宋体" w:cs="宋体"/>
                <w:color w:val="333333"/>
                <w:spacing w:val="7"/>
                <w:sz w:val="18"/>
                <w:szCs w:val="18"/>
              </w:rPr>
            </w:pPr>
          </w:p>
        </w:tc>
        <w:tc>
          <w:tcPr>
            <w:tcW w:w="1248"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8"/>
                <w:szCs w:val="18"/>
              </w:rPr>
            </w:pPr>
          </w:p>
        </w:tc>
        <w:tc>
          <w:tcPr>
            <w:tcW w:w="1186"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8"/>
                <w:szCs w:val="18"/>
              </w:rPr>
            </w:pPr>
          </w:p>
        </w:tc>
        <w:tc>
          <w:tcPr>
            <w:tcW w:w="1187"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8"/>
                <w:szCs w:val="18"/>
              </w:rPr>
            </w:pPr>
          </w:p>
        </w:tc>
        <w:tc>
          <w:tcPr>
            <w:tcW w:w="3875" w:type="dxa"/>
            <w:gridSpan w:val="2"/>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8"/>
                <w:szCs w:val="18"/>
              </w:rPr>
            </w:pPr>
          </w:p>
        </w:tc>
      </w:tr>
      <w:tr w:rsidR="00225C4F">
        <w:trPr>
          <w:trHeight w:val="361"/>
        </w:trPr>
        <w:tc>
          <w:tcPr>
            <w:tcW w:w="1007" w:type="dxa"/>
            <w:vMerge/>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225C4F">
            <w:pPr>
              <w:rPr>
                <w:rFonts w:ascii="宋体" w:eastAsia="宋体" w:hAnsi="宋体" w:cs="宋体"/>
                <w:color w:val="333333"/>
                <w:spacing w:val="7"/>
                <w:sz w:val="18"/>
                <w:szCs w:val="18"/>
              </w:rPr>
            </w:pPr>
          </w:p>
        </w:tc>
        <w:tc>
          <w:tcPr>
            <w:tcW w:w="1248"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8"/>
                <w:szCs w:val="18"/>
              </w:rPr>
            </w:pPr>
          </w:p>
        </w:tc>
        <w:tc>
          <w:tcPr>
            <w:tcW w:w="1186"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8"/>
                <w:szCs w:val="18"/>
              </w:rPr>
            </w:pPr>
          </w:p>
        </w:tc>
        <w:tc>
          <w:tcPr>
            <w:tcW w:w="1187"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8"/>
                <w:szCs w:val="18"/>
              </w:rPr>
            </w:pPr>
          </w:p>
        </w:tc>
        <w:tc>
          <w:tcPr>
            <w:tcW w:w="3875" w:type="dxa"/>
            <w:gridSpan w:val="2"/>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8"/>
                <w:szCs w:val="18"/>
              </w:rPr>
            </w:pPr>
          </w:p>
        </w:tc>
      </w:tr>
      <w:tr w:rsidR="00225C4F">
        <w:trPr>
          <w:trHeight w:val="370"/>
        </w:trPr>
        <w:tc>
          <w:tcPr>
            <w:tcW w:w="1007" w:type="dxa"/>
            <w:vMerge/>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225C4F">
            <w:pPr>
              <w:rPr>
                <w:rFonts w:ascii="宋体" w:eastAsia="宋体" w:hAnsi="宋体" w:cs="宋体"/>
                <w:color w:val="333333"/>
                <w:spacing w:val="7"/>
                <w:sz w:val="18"/>
                <w:szCs w:val="18"/>
              </w:rPr>
            </w:pPr>
          </w:p>
        </w:tc>
        <w:tc>
          <w:tcPr>
            <w:tcW w:w="1248"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8"/>
                <w:szCs w:val="18"/>
              </w:rPr>
            </w:pPr>
          </w:p>
        </w:tc>
        <w:tc>
          <w:tcPr>
            <w:tcW w:w="1186"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8"/>
                <w:szCs w:val="18"/>
              </w:rPr>
            </w:pPr>
          </w:p>
        </w:tc>
        <w:tc>
          <w:tcPr>
            <w:tcW w:w="1187"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8"/>
                <w:szCs w:val="18"/>
              </w:rPr>
            </w:pPr>
          </w:p>
        </w:tc>
        <w:tc>
          <w:tcPr>
            <w:tcW w:w="3875" w:type="dxa"/>
            <w:gridSpan w:val="2"/>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8"/>
                <w:szCs w:val="18"/>
              </w:rPr>
            </w:pPr>
          </w:p>
        </w:tc>
      </w:tr>
    </w:tbl>
    <w:p w:rsidR="00225C4F" w:rsidRDefault="001935FC">
      <w:pPr>
        <w:pStyle w:val="a6"/>
        <w:widowControl/>
        <w:shd w:val="clear" w:color="auto" w:fill="FFFFFF"/>
        <w:spacing w:beforeAutospacing="0" w:afterAutospacing="0"/>
        <w:jc w:val="both"/>
        <w:rPr>
          <w:rFonts w:ascii="宋体" w:eastAsia="宋体" w:hAnsi="宋体" w:cs="宋体"/>
          <w:color w:val="000000"/>
          <w:spacing w:val="7"/>
          <w:sz w:val="25"/>
          <w:szCs w:val="25"/>
        </w:rPr>
      </w:pPr>
      <w:r>
        <w:rPr>
          <w:rStyle w:val="a8"/>
          <w:rFonts w:ascii="宋体" w:eastAsia="宋体" w:hAnsi="宋体" w:cs="宋体" w:hint="eastAsia"/>
          <w:b w:val="0"/>
          <w:color w:val="000000"/>
          <w:spacing w:val="7"/>
          <w:sz w:val="19"/>
          <w:szCs w:val="19"/>
          <w:shd w:val="clear" w:color="auto" w:fill="FFFFFF"/>
        </w:rPr>
        <w:t>二、工资、住房公积金、奖金、津贴、补贴等状况（近三年）</w:t>
      </w:r>
    </w:p>
    <w:tbl>
      <w:tblPr>
        <w:tblW w:w="8495" w:type="dxa"/>
        <w:shd w:val="clear" w:color="auto" w:fill="FFFFFF"/>
        <w:tblCellMar>
          <w:left w:w="0" w:type="dxa"/>
          <w:right w:w="0" w:type="dxa"/>
        </w:tblCellMar>
        <w:tblLook w:val="04A0"/>
      </w:tblPr>
      <w:tblGrid>
        <w:gridCol w:w="1766"/>
        <w:gridCol w:w="1581"/>
        <w:gridCol w:w="1581"/>
        <w:gridCol w:w="3567"/>
      </w:tblGrid>
      <w:tr w:rsidR="00225C4F">
        <w:trPr>
          <w:trHeight w:val="313"/>
        </w:trPr>
        <w:tc>
          <w:tcPr>
            <w:tcW w:w="1766" w:type="dxa"/>
            <w:tcBorders>
              <w:top w:val="single" w:sz="4" w:space="0" w:color="auto"/>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项目</w:t>
            </w:r>
          </w:p>
        </w:tc>
        <w:tc>
          <w:tcPr>
            <w:tcW w:w="1581"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年份</w:t>
            </w:r>
          </w:p>
        </w:tc>
        <w:tc>
          <w:tcPr>
            <w:tcW w:w="1581"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年份</w:t>
            </w:r>
          </w:p>
        </w:tc>
        <w:tc>
          <w:tcPr>
            <w:tcW w:w="3567"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年份</w:t>
            </w:r>
          </w:p>
        </w:tc>
      </w:tr>
      <w:tr w:rsidR="00225C4F">
        <w:trPr>
          <w:trHeight w:val="241"/>
        </w:trPr>
        <w:tc>
          <w:tcPr>
            <w:tcW w:w="1766" w:type="dxa"/>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工资</w:t>
            </w:r>
          </w:p>
        </w:tc>
        <w:tc>
          <w:tcPr>
            <w:tcW w:w="1581"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581"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3567"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r>
      <w:tr w:rsidR="00225C4F">
        <w:tc>
          <w:tcPr>
            <w:tcW w:w="1766" w:type="dxa"/>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住房公积金</w:t>
            </w:r>
          </w:p>
        </w:tc>
        <w:tc>
          <w:tcPr>
            <w:tcW w:w="1581"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581"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3567"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r>
      <w:tr w:rsidR="00225C4F">
        <w:tc>
          <w:tcPr>
            <w:tcW w:w="1766" w:type="dxa"/>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养老保险金</w:t>
            </w:r>
          </w:p>
        </w:tc>
        <w:tc>
          <w:tcPr>
            <w:tcW w:w="1581"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581"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3567"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r>
      <w:tr w:rsidR="00225C4F">
        <w:tc>
          <w:tcPr>
            <w:tcW w:w="1766" w:type="dxa"/>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奖金</w:t>
            </w:r>
          </w:p>
        </w:tc>
        <w:tc>
          <w:tcPr>
            <w:tcW w:w="1581"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581"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3567"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r>
      <w:tr w:rsidR="00225C4F">
        <w:tc>
          <w:tcPr>
            <w:tcW w:w="1766" w:type="dxa"/>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津贴</w:t>
            </w:r>
          </w:p>
        </w:tc>
        <w:tc>
          <w:tcPr>
            <w:tcW w:w="1581"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581"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3567"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r>
      <w:tr w:rsidR="00225C4F">
        <w:trPr>
          <w:trHeight w:val="289"/>
        </w:trPr>
        <w:tc>
          <w:tcPr>
            <w:tcW w:w="1766" w:type="dxa"/>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补贴</w:t>
            </w:r>
          </w:p>
        </w:tc>
        <w:tc>
          <w:tcPr>
            <w:tcW w:w="1581"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581"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3567"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r>
      <w:tr w:rsidR="00225C4F">
        <w:trPr>
          <w:trHeight w:val="216"/>
        </w:trPr>
        <w:tc>
          <w:tcPr>
            <w:tcW w:w="1766" w:type="dxa"/>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其他</w:t>
            </w:r>
          </w:p>
        </w:tc>
        <w:tc>
          <w:tcPr>
            <w:tcW w:w="1581"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581"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3567"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r>
    </w:tbl>
    <w:p w:rsidR="00225C4F" w:rsidRDefault="001935FC">
      <w:pPr>
        <w:pStyle w:val="a6"/>
        <w:widowControl/>
        <w:shd w:val="clear" w:color="auto" w:fill="FFFFFF"/>
        <w:spacing w:beforeAutospacing="0" w:afterAutospacing="0"/>
        <w:jc w:val="both"/>
        <w:rPr>
          <w:rStyle w:val="a8"/>
          <w:rFonts w:ascii="宋体" w:eastAsia="宋体" w:hAnsi="宋体" w:cs="宋体"/>
          <w:b w:val="0"/>
          <w:color w:val="000000"/>
          <w:spacing w:val="7"/>
          <w:sz w:val="19"/>
          <w:szCs w:val="19"/>
          <w:shd w:val="clear" w:color="auto" w:fill="FFFFFF"/>
        </w:rPr>
      </w:pPr>
      <w:r>
        <w:rPr>
          <w:rStyle w:val="a8"/>
          <w:rFonts w:ascii="宋体" w:eastAsia="宋体" w:hAnsi="宋体" w:cs="宋体" w:hint="eastAsia"/>
          <w:b w:val="0"/>
          <w:color w:val="000000"/>
          <w:spacing w:val="7"/>
          <w:sz w:val="19"/>
          <w:szCs w:val="19"/>
          <w:shd w:val="clear" w:color="auto" w:fill="FFFFFF"/>
        </w:rPr>
        <w:t>三、财产、权益状况</w:t>
      </w:r>
    </w:p>
    <w:p w:rsidR="00225C4F" w:rsidRDefault="001935FC">
      <w:pPr>
        <w:pStyle w:val="a6"/>
        <w:widowControl/>
        <w:shd w:val="clear" w:color="auto" w:fill="FFFFFF"/>
        <w:spacing w:beforeAutospacing="0" w:afterAutospacing="0"/>
        <w:jc w:val="both"/>
        <w:rPr>
          <w:rStyle w:val="a8"/>
          <w:rFonts w:ascii="宋体" w:eastAsia="宋体" w:hAnsi="宋体" w:cs="宋体"/>
          <w:b w:val="0"/>
          <w:color w:val="000000"/>
          <w:spacing w:val="7"/>
          <w:sz w:val="19"/>
          <w:szCs w:val="19"/>
          <w:shd w:val="clear" w:color="auto" w:fill="FFFFFF"/>
        </w:rPr>
      </w:pPr>
      <w:r>
        <w:rPr>
          <w:rFonts w:ascii="宋体" w:eastAsia="宋体" w:hAnsi="宋体" w:cs="宋体" w:hint="eastAsia"/>
          <w:color w:val="000000"/>
          <w:spacing w:val="7"/>
          <w:sz w:val="19"/>
          <w:szCs w:val="19"/>
          <w:shd w:val="clear" w:color="auto" w:fill="FFFFFF"/>
        </w:rPr>
        <w:t>（一）土地、房产等不动产（附产权证明、使用权证明等）</w:t>
      </w:r>
    </w:p>
    <w:tbl>
      <w:tblPr>
        <w:tblpPr w:leftFromText="180" w:rightFromText="180" w:vertAnchor="text" w:horzAnchor="page" w:tblpX="1786" w:tblpY="310"/>
        <w:tblOverlap w:val="never"/>
        <w:tblW w:w="8502" w:type="dxa"/>
        <w:shd w:val="clear" w:color="auto" w:fill="FFFFFF"/>
        <w:tblLayout w:type="fixed"/>
        <w:tblCellMar>
          <w:left w:w="0" w:type="dxa"/>
          <w:right w:w="0" w:type="dxa"/>
        </w:tblCellMar>
        <w:tblLook w:val="04A0"/>
      </w:tblPr>
      <w:tblGrid>
        <w:gridCol w:w="532"/>
        <w:gridCol w:w="1805"/>
        <w:gridCol w:w="880"/>
        <w:gridCol w:w="805"/>
        <w:gridCol w:w="1093"/>
        <w:gridCol w:w="1406"/>
        <w:gridCol w:w="855"/>
        <w:gridCol w:w="1126"/>
      </w:tblGrid>
      <w:tr w:rsidR="00225C4F">
        <w:tc>
          <w:tcPr>
            <w:tcW w:w="532" w:type="dxa"/>
            <w:tcBorders>
              <w:top w:val="single" w:sz="4" w:space="0" w:color="auto"/>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编号</w:t>
            </w:r>
          </w:p>
        </w:tc>
        <w:tc>
          <w:tcPr>
            <w:tcW w:w="1805"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地址</w:t>
            </w:r>
          </w:p>
        </w:tc>
        <w:tc>
          <w:tcPr>
            <w:tcW w:w="880"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取得时间和方式</w:t>
            </w:r>
          </w:p>
        </w:tc>
        <w:tc>
          <w:tcPr>
            <w:tcW w:w="805"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权属登记编号、登记权利人</w:t>
            </w:r>
          </w:p>
        </w:tc>
        <w:tc>
          <w:tcPr>
            <w:tcW w:w="1093"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不动产性质、建筑面积</w:t>
            </w:r>
          </w:p>
        </w:tc>
        <w:tc>
          <w:tcPr>
            <w:tcW w:w="1406"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取得时价值</w:t>
            </w:r>
          </w:p>
        </w:tc>
        <w:tc>
          <w:tcPr>
            <w:tcW w:w="855"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有无按揭</w:t>
            </w:r>
          </w:p>
        </w:tc>
        <w:tc>
          <w:tcPr>
            <w:tcW w:w="1126"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自估现价</w:t>
            </w:r>
          </w:p>
        </w:tc>
      </w:tr>
      <w:tr w:rsidR="00225C4F">
        <w:tc>
          <w:tcPr>
            <w:tcW w:w="532" w:type="dxa"/>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1</w:t>
            </w:r>
          </w:p>
        </w:tc>
        <w:tc>
          <w:tcPr>
            <w:tcW w:w="1805"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880"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805"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093"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406"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855"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126"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r>
      <w:tr w:rsidR="00225C4F">
        <w:tc>
          <w:tcPr>
            <w:tcW w:w="532" w:type="dxa"/>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2</w:t>
            </w:r>
          </w:p>
        </w:tc>
        <w:tc>
          <w:tcPr>
            <w:tcW w:w="1805"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880"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805"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093"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406"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855"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126"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r>
      <w:tr w:rsidR="00225C4F">
        <w:tc>
          <w:tcPr>
            <w:tcW w:w="532" w:type="dxa"/>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3</w:t>
            </w:r>
          </w:p>
        </w:tc>
        <w:tc>
          <w:tcPr>
            <w:tcW w:w="1805"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880"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805"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093"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406"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855"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126"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r>
      <w:tr w:rsidR="00225C4F">
        <w:tc>
          <w:tcPr>
            <w:tcW w:w="532" w:type="dxa"/>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4</w:t>
            </w:r>
          </w:p>
        </w:tc>
        <w:tc>
          <w:tcPr>
            <w:tcW w:w="1805"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880"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805"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093"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406"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855"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126"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r>
      <w:tr w:rsidR="00225C4F">
        <w:tc>
          <w:tcPr>
            <w:tcW w:w="532" w:type="dxa"/>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5</w:t>
            </w:r>
          </w:p>
        </w:tc>
        <w:tc>
          <w:tcPr>
            <w:tcW w:w="1805"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880"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805"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093"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406"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855"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126"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r>
    </w:tbl>
    <w:p w:rsidR="00225C4F" w:rsidRDefault="001935FC">
      <w:pPr>
        <w:pStyle w:val="a6"/>
        <w:widowControl/>
        <w:shd w:val="clear" w:color="auto" w:fill="FFFFFF"/>
        <w:spacing w:beforeAutospacing="0" w:afterAutospacing="0"/>
        <w:jc w:val="both"/>
        <w:rPr>
          <w:rFonts w:ascii="宋体" w:eastAsia="宋体" w:hAnsi="宋体" w:cs="宋体"/>
          <w:color w:val="000000"/>
          <w:spacing w:val="7"/>
          <w:sz w:val="25"/>
          <w:szCs w:val="25"/>
        </w:rPr>
      </w:pPr>
      <w:r>
        <w:rPr>
          <w:rFonts w:ascii="宋体" w:eastAsia="宋体" w:hAnsi="宋体" w:cs="宋体" w:hint="eastAsia"/>
          <w:color w:val="000000"/>
          <w:spacing w:val="7"/>
          <w:sz w:val="19"/>
          <w:szCs w:val="19"/>
          <w:shd w:val="clear" w:color="auto" w:fill="FFFFFF"/>
        </w:rPr>
        <w:t>（二）车辆（附行驶证等权属证明）</w:t>
      </w:r>
    </w:p>
    <w:tbl>
      <w:tblPr>
        <w:tblW w:w="8462" w:type="dxa"/>
        <w:shd w:val="clear" w:color="auto" w:fill="FFFFFF"/>
        <w:tblCellMar>
          <w:left w:w="0" w:type="dxa"/>
          <w:right w:w="0" w:type="dxa"/>
        </w:tblCellMar>
        <w:tblLook w:val="04A0"/>
      </w:tblPr>
      <w:tblGrid>
        <w:gridCol w:w="566"/>
        <w:gridCol w:w="963"/>
        <w:gridCol w:w="1279"/>
        <w:gridCol w:w="1279"/>
        <w:gridCol w:w="1035"/>
        <w:gridCol w:w="790"/>
        <w:gridCol w:w="2550"/>
      </w:tblGrid>
      <w:tr w:rsidR="00225C4F">
        <w:trPr>
          <w:trHeight w:val="1140"/>
        </w:trPr>
        <w:tc>
          <w:tcPr>
            <w:tcW w:w="566" w:type="dxa"/>
            <w:tcBorders>
              <w:top w:val="single" w:sz="4" w:space="0" w:color="auto"/>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编号</w:t>
            </w:r>
          </w:p>
        </w:tc>
        <w:tc>
          <w:tcPr>
            <w:tcW w:w="963"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登记车主</w:t>
            </w:r>
          </w:p>
        </w:tc>
        <w:tc>
          <w:tcPr>
            <w:tcW w:w="1279"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品牌型号及车牌号码</w:t>
            </w:r>
          </w:p>
        </w:tc>
        <w:tc>
          <w:tcPr>
            <w:tcW w:w="1279"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取得时间和方式</w:t>
            </w:r>
          </w:p>
        </w:tc>
        <w:tc>
          <w:tcPr>
            <w:tcW w:w="1035"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取得时价值</w:t>
            </w:r>
          </w:p>
        </w:tc>
        <w:tc>
          <w:tcPr>
            <w:tcW w:w="790"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有无按揭</w:t>
            </w:r>
          </w:p>
        </w:tc>
        <w:tc>
          <w:tcPr>
            <w:tcW w:w="2550"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自估现价</w:t>
            </w:r>
          </w:p>
        </w:tc>
      </w:tr>
      <w:tr w:rsidR="00225C4F">
        <w:trPr>
          <w:trHeight w:val="409"/>
        </w:trPr>
        <w:tc>
          <w:tcPr>
            <w:tcW w:w="566" w:type="dxa"/>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1</w:t>
            </w:r>
          </w:p>
        </w:tc>
        <w:tc>
          <w:tcPr>
            <w:tcW w:w="963"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279"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279"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035"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790"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2550"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r>
      <w:tr w:rsidR="00225C4F">
        <w:trPr>
          <w:trHeight w:val="409"/>
        </w:trPr>
        <w:tc>
          <w:tcPr>
            <w:tcW w:w="566" w:type="dxa"/>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2</w:t>
            </w:r>
          </w:p>
        </w:tc>
        <w:tc>
          <w:tcPr>
            <w:tcW w:w="963"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279"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279"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035"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790"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2550"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r>
      <w:tr w:rsidR="00225C4F">
        <w:trPr>
          <w:trHeight w:val="409"/>
        </w:trPr>
        <w:tc>
          <w:tcPr>
            <w:tcW w:w="566" w:type="dxa"/>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3</w:t>
            </w:r>
          </w:p>
        </w:tc>
        <w:tc>
          <w:tcPr>
            <w:tcW w:w="963"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279"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279"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035"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790"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2550"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r>
      <w:tr w:rsidR="00225C4F">
        <w:trPr>
          <w:trHeight w:val="409"/>
        </w:trPr>
        <w:tc>
          <w:tcPr>
            <w:tcW w:w="566" w:type="dxa"/>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4</w:t>
            </w:r>
          </w:p>
        </w:tc>
        <w:tc>
          <w:tcPr>
            <w:tcW w:w="963"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279"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279"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035"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790"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2550"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r>
      <w:tr w:rsidR="00225C4F">
        <w:trPr>
          <w:trHeight w:val="409"/>
        </w:trPr>
        <w:tc>
          <w:tcPr>
            <w:tcW w:w="566" w:type="dxa"/>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5</w:t>
            </w:r>
          </w:p>
        </w:tc>
        <w:tc>
          <w:tcPr>
            <w:tcW w:w="963"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279"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279"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035"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790"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2550"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r>
    </w:tbl>
    <w:p w:rsidR="00225C4F" w:rsidRDefault="00225C4F">
      <w:pPr>
        <w:pStyle w:val="a6"/>
        <w:widowControl/>
        <w:shd w:val="clear" w:color="auto" w:fill="FFFFFF"/>
        <w:spacing w:beforeAutospacing="0" w:afterAutospacing="0"/>
        <w:jc w:val="both"/>
        <w:rPr>
          <w:rFonts w:ascii="宋体" w:eastAsia="宋体" w:hAnsi="宋体" w:cs="宋体"/>
          <w:color w:val="000000"/>
          <w:spacing w:val="7"/>
          <w:sz w:val="19"/>
          <w:szCs w:val="19"/>
          <w:shd w:val="clear" w:color="auto" w:fill="FFFFFF"/>
        </w:rPr>
      </w:pPr>
    </w:p>
    <w:p w:rsidR="00225C4F" w:rsidRDefault="00225C4F">
      <w:pPr>
        <w:pStyle w:val="a6"/>
        <w:widowControl/>
        <w:shd w:val="clear" w:color="auto" w:fill="FFFFFF"/>
        <w:spacing w:beforeAutospacing="0" w:afterAutospacing="0"/>
        <w:jc w:val="both"/>
        <w:rPr>
          <w:rFonts w:ascii="宋体" w:eastAsia="宋体" w:hAnsi="宋体" w:cs="宋体"/>
          <w:color w:val="000000"/>
          <w:spacing w:val="7"/>
          <w:sz w:val="19"/>
          <w:szCs w:val="19"/>
          <w:shd w:val="clear" w:color="auto" w:fill="FFFFFF"/>
        </w:rPr>
      </w:pPr>
    </w:p>
    <w:p w:rsidR="00225C4F" w:rsidRDefault="001935FC">
      <w:pPr>
        <w:pStyle w:val="a6"/>
        <w:widowControl/>
        <w:shd w:val="clear" w:color="auto" w:fill="FFFFFF"/>
        <w:spacing w:beforeAutospacing="0" w:afterAutospacing="0"/>
        <w:jc w:val="both"/>
        <w:rPr>
          <w:rFonts w:ascii="宋体" w:eastAsia="宋体" w:hAnsi="宋体" w:cs="宋体"/>
          <w:color w:val="000000"/>
          <w:spacing w:val="7"/>
          <w:sz w:val="25"/>
          <w:szCs w:val="25"/>
        </w:rPr>
      </w:pPr>
      <w:r>
        <w:rPr>
          <w:rFonts w:ascii="宋体" w:eastAsia="宋体" w:hAnsi="宋体" w:cs="宋体" w:hint="eastAsia"/>
          <w:color w:val="000000"/>
          <w:spacing w:val="7"/>
          <w:sz w:val="19"/>
          <w:szCs w:val="19"/>
          <w:shd w:val="clear" w:color="auto" w:fill="FFFFFF"/>
        </w:rPr>
        <w:t>（三）银行存款（附最近一年的交易流水记录）</w:t>
      </w:r>
    </w:p>
    <w:tbl>
      <w:tblPr>
        <w:tblW w:w="8446" w:type="dxa"/>
        <w:shd w:val="clear" w:color="auto" w:fill="FFFFFF"/>
        <w:tblCellMar>
          <w:left w:w="0" w:type="dxa"/>
          <w:right w:w="0" w:type="dxa"/>
        </w:tblCellMar>
        <w:tblLook w:val="04A0"/>
      </w:tblPr>
      <w:tblGrid>
        <w:gridCol w:w="584"/>
        <w:gridCol w:w="2800"/>
        <w:gridCol w:w="1522"/>
        <w:gridCol w:w="3540"/>
      </w:tblGrid>
      <w:tr w:rsidR="00225C4F">
        <w:trPr>
          <w:trHeight w:val="553"/>
        </w:trPr>
        <w:tc>
          <w:tcPr>
            <w:tcW w:w="584" w:type="dxa"/>
            <w:tcBorders>
              <w:top w:val="single" w:sz="4" w:space="0" w:color="auto"/>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编号</w:t>
            </w:r>
          </w:p>
        </w:tc>
        <w:tc>
          <w:tcPr>
            <w:tcW w:w="2800"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开户银行名称</w:t>
            </w:r>
          </w:p>
        </w:tc>
        <w:tc>
          <w:tcPr>
            <w:tcW w:w="1522"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帐户号码</w:t>
            </w:r>
          </w:p>
        </w:tc>
        <w:tc>
          <w:tcPr>
            <w:tcW w:w="3540"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帐户余额</w:t>
            </w:r>
          </w:p>
        </w:tc>
      </w:tr>
      <w:tr w:rsidR="00225C4F">
        <w:trPr>
          <w:trHeight w:val="409"/>
        </w:trPr>
        <w:tc>
          <w:tcPr>
            <w:tcW w:w="584" w:type="dxa"/>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1</w:t>
            </w:r>
          </w:p>
        </w:tc>
        <w:tc>
          <w:tcPr>
            <w:tcW w:w="2800"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52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3540"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r>
      <w:tr w:rsidR="00225C4F">
        <w:trPr>
          <w:trHeight w:val="409"/>
        </w:trPr>
        <w:tc>
          <w:tcPr>
            <w:tcW w:w="584" w:type="dxa"/>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2</w:t>
            </w:r>
          </w:p>
        </w:tc>
        <w:tc>
          <w:tcPr>
            <w:tcW w:w="2800"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52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3540"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r>
      <w:tr w:rsidR="00225C4F">
        <w:trPr>
          <w:trHeight w:val="409"/>
        </w:trPr>
        <w:tc>
          <w:tcPr>
            <w:tcW w:w="584" w:type="dxa"/>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3</w:t>
            </w:r>
          </w:p>
        </w:tc>
        <w:tc>
          <w:tcPr>
            <w:tcW w:w="2800"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52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3540"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r>
      <w:tr w:rsidR="00225C4F">
        <w:trPr>
          <w:trHeight w:val="409"/>
        </w:trPr>
        <w:tc>
          <w:tcPr>
            <w:tcW w:w="584" w:type="dxa"/>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4</w:t>
            </w:r>
          </w:p>
        </w:tc>
        <w:tc>
          <w:tcPr>
            <w:tcW w:w="2800"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52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3540"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r>
      <w:tr w:rsidR="00225C4F">
        <w:trPr>
          <w:trHeight w:val="409"/>
        </w:trPr>
        <w:tc>
          <w:tcPr>
            <w:tcW w:w="584" w:type="dxa"/>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5</w:t>
            </w:r>
          </w:p>
        </w:tc>
        <w:tc>
          <w:tcPr>
            <w:tcW w:w="2800"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52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3540"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r>
    </w:tbl>
    <w:p w:rsidR="00225C4F" w:rsidRDefault="001935FC">
      <w:pPr>
        <w:pStyle w:val="a6"/>
        <w:widowControl/>
        <w:shd w:val="clear" w:color="auto" w:fill="FFFFFF"/>
        <w:spacing w:beforeAutospacing="0" w:afterAutospacing="0"/>
        <w:jc w:val="both"/>
        <w:rPr>
          <w:rFonts w:ascii="宋体" w:eastAsia="宋体" w:hAnsi="宋体" w:cs="宋体"/>
          <w:color w:val="000000"/>
          <w:spacing w:val="7"/>
          <w:sz w:val="25"/>
          <w:szCs w:val="25"/>
        </w:rPr>
      </w:pPr>
      <w:r>
        <w:rPr>
          <w:rFonts w:ascii="宋体" w:eastAsia="宋体" w:hAnsi="宋体" w:cs="宋体" w:hint="eastAsia"/>
          <w:color w:val="000000"/>
          <w:spacing w:val="7"/>
          <w:sz w:val="19"/>
          <w:szCs w:val="19"/>
          <w:shd w:val="clear" w:color="auto" w:fill="FFFFFF"/>
        </w:rPr>
        <w:t>（四）租金、政府津贴、农村集体组织红利等生产、经营性收益</w:t>
      </w:r>
    </w:p>
    <w:tbl>
      <w:tblPr>
        <w:tblStyle w:val="a7"/>
        <w:tblW w:w="0" w:type="auto"/>
        <w:tblLook w:val="04A0"/>
      </w:tblPr>
      <w:tblGrid>
        <w:gridCol w:w="1420"/>
        <w:gridCol w:w="1420"/>
        <w:gridCol w:w="1420"/>
        <w:gridCol w:w="1420"/>
        <w:gridCol w:w="1421"/>
        <w:gridCol w:w="1336"/>
      </w:tblGrid>
      <w:tr w:rsidR="00225C4F">
        <w:tc>
          <w:tcPr>
            <w:tcW w:w="1420" w:type="dxa"/>
          </w:tcPr>
          <w:p w:rsidR="00225C4F" w:rsidRDefault="001935FC">
            <w:pPr>
              <w:pStyle w:val="a6"/>
              <w:widowControl/>
              <w:spacing w:beforeAutospacing="0" w:afterAutospacing="0"/>
              <w:jc w:val="both"/>
              <w:rPr>
                <w:rFonts w:ascii="宋体" w:eastAsia="宋体" w:hAnsi="宋体" w:cs="宋体"/>
                <w:color w:val="000000"/>
                <w:spacing w:val="7"/>
                <w:sz w:val="19"/>
                <w:szCs w:val="19"/>
                <w:shd w:val="clear" w:color="auto" w:fill="FFFFFF"/>
              </w:rPr>
            </w:pPr>
            <w:r>
              <w:rPr>
                <w:rFonts w:ascii="宋体" w:eastAsia="宋体" w:hAnsi="宋体" w:cs="宋体" w:hint="eastAsia"/>
                <w:color w:val="000000"/>
                <w:spacing w:val="7"/>
                <w:sz w:val="19"/>
                <w:szCs w:val="19"/>
                <w:shd w:val="clear" w:color="auto" w:fill="FFFFFF"/>
              </w:rPr>
              <w:t>编号</w:t>
            </w:r>
          </w:p>
        </w:tc>
        <w:tc>
          <w:tcPr>
            <w:tcW w:w="1420" w:type="dxa"/>
          </w:tcPr>
          <w:p w:rsidR="00225C4F" w:rsidRDefault="001935FC">
            <w:pPr>
              <w:pStyle w:val="a6"/>
              <w:widowControl/>
              <w:spacing w:beforeAutospacing="0" w:afterAutospacing="0"/>
              <w:jc w:val="both"/>
              <w:rPr>
                <w:rFonts w:ascii="宋体" w:eastAsia="宋体" w:hAnsi="宋体" w:cs="宋体"/>
                <w:color w:val="000000"/>
                <w:spacing w:val="7"/>
                <w:sz w:val="19"/>
                <w:szCs w:val="19"/>
                <w:shd w:val="clear" w:color="auto" w:fill="FFFFFF"/>
              </w:rPr>
            </w:pPr>
            <w:r>
              <w:rPr>
                <w:rFonts w:ascii="宋体" w:eastAsia="宋体" w:hAnsi="宋体" w:cs="宋体" w:hint="eastAsia"/>
                <w:color w:val="000000"/>
                <w:spacing w:val="7"/>
                <w:sz w:val="19"/>
                <w:szCs w:val="19"/>
                <w:shd w:val="clear" w:color="auto" w:fill="FFFFFF"/>
              </w:rPr>
              <w:t>名称</w:t>
            </w:r>
          </w:p>
        </w:tc>
        <w:tc>
          <w:tcPr>
            <w:tcW w:w="1420" w:type="dxa"/>
          </w:tcPr>
          <w:p w:rsidR="00225C4F" w:rsidRDefault="001935FC">
            <w:pPr>
              <w:pStyle w:val="a6"/>
              <w:widowControl/>
              <w:spacing w:beforeAutospacing="0" w:afterAutospacing="0"/>
              <w:jc w:val="both"/>
              <w:rPr>
                <w:rFonts w:ascii="宋体" w:eastAsia="宋体" w:hAnsi="宋体" w:cs="宋体"/>
                <w:color w:val="000000"/>
                <w:spacing w:val="7"/>
                <w:sz w:val="19"/>
                <w:szCs w:val="19"/>
                <w:shd w:val="clear" w:color="auto" w:fill="FFFFFF"/>
              </w:rPr>
            </w:pPr>
            <w:r>
              <w:rPr>
                <w:rFonts w:ascii="宋体" w:eastAsia="宋体" w:hAnsi="宋体" w:cs="宋体" w:hint="eastAsia"/>
                <w:color w:val="000000"/>
                <w:spacing w:val="7"/>
                <w:sz w:val="19"/>
                <w:szCs w:val="19"/>
                <w:shd w:val="clear" w:color="auto" w:fill="FFFFFF"/>
              </w:rPr>
              <w:t>领取金额</w:t>
            </w:r>
          </w:p>
        </w:tc>
        <w:tc>
          <w:tcPr>
            <w:tcW w:w="1420" w:type="dxa"/>
          </w:tcPr>
          <w:p w:rsidR="00225C4F" w:rsidRDefault="001935FC">
            <w:pPr>
              <w:pStyle w:val="a6"/>
              <w:widowControl/>
              <w:spacing w:beforeAutospacing="0" w:afterAutospacing="0"/>
              <w:jc w:val="both"/>
              <w:rPr>
                <w:rFonts w:ascii="宋体" w:eastAsia="宋体" w:hAnsi="宋体" w:cs="宋体"/>
                <w:color w:val="000000"/>
                <w:spacing w:val="7"/>
                <w:sz w:val="19"/>
                <w:szCs w:val="19"/>
                <w:shd w:val="clear" w:color="auto" w:fill="FFFFFF"/>
              </w:rPr>
            </w:pPr>
            <w:r>
              <w:rPr>
                <w:rFonts w:ascii="宋体" w:eastAsia="宋体" w:hAnsi="宋体" w:cs="宋体" w:hint="eastAsia"/>
                <w:color w:val="000000"/>
                <w:spacing w:val="7"/>
                <w:sz w:val="19"/>
                <w:szCs w:val="19"/>
                <w:shd w:val="clear" w:color="auto" w:fill="FFFFFF"/>
              </w:rPr>
              <w:t>取得时间</w:t>
            </w:r>
          </w:p>
        </w:tc>
        <w:tc>
          <w:tcPr>
            <w:tcW w:w="1421" w:type="dxa"/>
          </w:tcPr>
          <w:p w:rsidR="00225C4F" w:rsidRDefault="001935FC">
            <w:pPr>
              <w:pStyle w:val="a6"/>
              <w:widowControl/>
              <w:spacing w:beforeAutospacing="0" w:afterAutospacing="0"/>
              <w:jc w:val="both"/>
              <w:rPr>
                <w:rFonts w:ascii="宋体" w:eastAsia="宋体" w:hAnsi="宋体" w:cs="宋体"/>
                <w:color w:val="000000"/>
                <w:spacing w:val="7"/>
                <w:sz w:val="19"/>
                <w:szCs w:val="19"/>
                <w:shd w:val="clear" w:color="auto" w:fill="FFFFFF"/>
              </w:rPr>
            </w:pPr>
            <w:r>
              <w:rPr>
                <w:rFonts w:ascii="宋体" w:eastAsia="宋体" w:hAnsi="宋体" w:cs="宋体" w:hint="eastAsia"/>
                <w:color w:val="000000"/>
                <w:spacing w:val="7"/>
                <w:sz w:val="19"/>
                <w:szCs w:val="19"/>
                <w:shd w:val="clear" w:color="auto" w:fill="FFFFFF"/>
              </w:rPr>
              <w:t>余额</w:t>
            </w:r>
          </w:p>
        </w:tc>
        <w:tc>
          <w:tcPr>
            <w:tcW w:w="1336" w:type="dxa"/>
          </w:tcPr>
          <w:p w:rsidR="00225C4F" w:rsidRDefault="001935FC">
            <w:pPr>
              <w:pStyle w:val="a6"/>
              <w:widowControl/>
              <w:spacing w:beforeAutospacing="0" w:afterAutospacing="0"/>
              <w:jc w:val="both"/>
              <w:rPr>
                <w:rFonts w:ascii="宋体" w:eastAsia="宋体" w:hAnsi="宋体" w:cs="宋体"/>
                <w:color w:val="000000"/>
                <w:spacing w:val="7"/>
                <w:sz w:val="19"/>
                <w:szCs w:val="19"/>
                <w:shd w:val="clear" w:color="auto" w:fill="FFFFFF"/>
              </w:rPr>
            </w:pPr>
            <w:r>
              <w:rPr>
                <w:rFonts w:ascii="宋体" w:eastAsia="宋体" w:hAnsi="宋体" w:cs="宋体" w:hint="eastAsia"/>
                <w:color w:val="000000"/>
                <w:spacing w:val="7"/>
                <w:sz w:val="19"/>
                <w:szCs w:val="19"/>
                <w:shd w:val="clear" w:color="auto" w:fill="FFFFFF"/>
              </w:rPr>
              <w:t>用途、去向</w:t>
            </w:r>
          </w:p>
        </w:tc>
      </w:tr>
      <w:tr w:rsidR="00225C4F">
        <w:tc>
          <w:tcPr>
            <w:tcW w:w="1420" w:type="dxa"/>
          </w:tcPr>
          <w:p w:rsidR="00225C4F" w:rsidRDefault="001935FC">
            <w:pPr>
              <w:pStyle w:val="a6"/>
              <w:widowControl/>
              <w:spacing w:beforeAutospacing="0" w:afterAutospacing="0"/>
              <w:jc w:val="both"/>
              <w:rPr>
                <w:rFonts w:ascii="宋体" w:eastAsia="宋体" w:hAnsi="宋体" w:cs="宋体"/>
                <w:color w:val="000000"/>
                <w:spacing w:val="7"/>
                <w:sz w:val="19"/>
                <w:szCs w:val="19"/>
                <w:shd w:val="clear" w:color="auto" w:fill="FFFFFF"/>
              </w:rPr>
            </w:pPr>
            <w:r>
              <w:rPr>
                <w:rFonts w:ascii="宋体" w:eastAsia="宋体" w:hAnsi="宋体" w:cs="宋体" w:hint="eastAsia"/>
                <w:color w:val="000000"/>
                <w:spacing w:val="7"/>
                <w:sz w:val="19"/>
                <w:szCs w:val="19"/>
                <w:shd w:val="clear" w:color="auto" w:fill="FFFFFF"/>
              </w:rPr>
              <w:t>1</w:t>
            </w:r>
          </w:p>
        </w:tc>
        <w:tc>
          <w:tcPr>
            <w:tcW w:w="1420" w:type="dxa"/>
          </w:tcPr>
          <w:p w:rsidR="00225C4F" w:rsidRDefault="00225C4F">
            <w:pPr>
              <w:pStyle w:val="a6"/>
              <w:widowControl/>
              <w:spacing w:beforeAutospacing="0" w:afterAutospacing="0"/>
              <w:jc w:val="both"/>
              <w:rPr>
                <w:rFonts w:ascii="宋体" w:eastAsia="宋体" w:hAnsi="宋体" w:cs="宋体"/>
                <w:color w:val="000000"/>
                <w:spacing w:val="7"/>
                <w:sz w:val="19"/>
                <w:szCs w:val="19"/>
                <w:shd w:val="clear" w:color="auto" w:fill="FFFFFF"/>
              </w:rPr>
            </w:pPr>
          </w:p>
        </w:tc>
        <w:tc>
          <w:tcPr>
            <w:tcW w:w="1420" w:type="dxa"/>
          </w:tcPr>
          <w:p w:rsidR="00225C4F" w:rsidRDefault="00225C4F">
            <w:pPr>
              <w:pStyle w:val="a6"/>
              <w:widowControl/>
              <w:spacing w:beforeAutospacing="0" w:afterAutospacing="0"/>
              <w:jc w:val="both"/>
              <w:rPr>
                <w:rFonts w:ascii="宋体" w:eastAsia="宋体" w:hAnsi="宋体" w:cs="宋体"/>
                <w:color w:val="000000"/>
                <w:spacing w:val="7"/>
                <w:sz w:val="19"/>
                <w:szCs w:val="19"/>
                <w:shd w:val="clear" w:color="auto" w:fill="FFFFFF"/>
              </w:rPr>
            </w:pPr>
          </w:p>
        </w:tc>
        <w:tc>
          <w:tcPr>
            <w:tcW w:w="1420" w:type="dxa"/>
          </w:tcPr>
          <w:p w:rsidR="00225C4F" w:rsidRDefault="00225C4F">
            <w:pPr>
              <w:pStyle w:val="a6"/>
              <w:widowControl/>
              <w:spacing w:beforeAutospacing="0" w:afterAutospacing="0"/>
              <w:jc w:val="both"/>
              <w:rPr>
                <w:rFonts w:ascii="宋体" w:eastAsia="宋体" w:hAnsi="宋体" w:cs="宋体"/>
                <w:color w:val="000000"/>
                <w:spacing w:val="7"/>
                <w:sz w:val="19"/>
                <w:szCs w:val="19"/>
                <w:shd w:val="clear" w:color="auto" w:fill="FFFFFF"/>
              </w:rPr>
            </w:pPr>
          </w:p>
        </w:tc>
        <w:tc>
          <w:tcPr>
            <w:tcW w:w="1421" w:type="dxa"/>
          </w:tcPr>
          <w:p w:rsidR="00225C4F" w:rsidRDefault="00225C4F">
            <w:pPr>
              <w:pStyle w:val="a6"/>
              <w:widowControl/>
              <w:spacing w:beforeAutospacing="0" w:afterAutospacing="0"/>
              <w:jc w:val="both"/>
              <w:rPr>
                <w:rFonts w:ascii="宋体" w:eastAsia="宋体" w:hAnsi="宋体" w:cs="宋体"/>
                <w:color w:val="000000"/>
                <w:spacing w:val="7"/>
                <w:sz w:val="19"/>
                <w:szCs w:val="19"/>
                <w:shd w:val="clear" w:color="auto" w:fill="FFFFFF"/>
              </w:rPr>
            </w:pPr>
          </w:p>
        </w:tc>
        <w:tc>
          <w:tcPr>
            <w:tcW w:w="1336" w:type="dxa"/>
          </w:tcPr>
          <w:p w:rsidR="00225C4F" w:rsidRDefault="00225C4F">
            <w:pPr>
              <w:pStyle w:val="a6"/>
              <w:widowControl/>
              <w:spacing w:beforeAutospacing="0" w:afterAutospacing="0"/>
              <w:jc w:val="both"/>
              <w:rPr>
                <w:rFonts w:ascii="宋体" w:eastAsia="宋体" w:hAnsi="宋体" w:cs="宋体"/>
                <w:color w:val="000000"/>
                <w:spacing w:val="7"/>
                <w:sz w:val="19"/>
                <w:szCs w:val="19"/>
                <w:shd w:val="clear" w:color="auto" w:fill="FFFFFF"/>
              </w:rPr>
            </w:pPr>
          </w:p>
        </w:tc>
      </w:tr>
      <w:tr w:rsidR="00225C4F">
        <w:tc>
          <w:tcPr>
            <w:tcW w:w="1420" w:type="dxa"/>
          </w:tcPr>
          <w:p w:rsidR="00225C4F" w:rsidRDefault="001935FC">
            <w:pPr>
              <w:pStyle w:val="a6"/>
              <w:widowControl/>
              <w:spacing w:beforeAutospacing="0" w:afterAutospacing="0"/>
              <w:jc w:val="both"/>
              <w:rPr>
                <w:rFonts w:ascii="宋体" w:eastAsia="宋体" w:hAnsi="宋体" w:cs="宋体"/>
                <w:color w:val="000000"/>
                <w:spacing w:val="7"/>
                <w:sz w:val="19"/>
                <w:szCs w:val="19"/>
                <w:shd w:val="clear" w:color="auto" w:fill="FFFFFF"/>
              </w:rPr>
            </w:pPr>
            <w:r>
              <w:rPr>
                <w:rFonts w:ascii="宋体" w:eastAsia="宋体" w:hAnsi="宋体" w:cs="宋体" w:hint="eastAsia"/>
                <w:color w:val="000000"/>
                <w:spacing w:val="7"/>
                <w:sz w:val="19"/>
                <w:szCs w:val="19"/>
                <w:shd w:val="clear" w:color="auto" w:fill="FFFFFF"/>
              </w:rPr>
              <w:t>2</w:t>
            </w:r>
          </w:p>
        </w:tc>
        <w:tc>
          <w:tcPr>
            <w:tcW w:w="1420" w:type="dxa"/>
          </w:tcPr>
          <w:p w:rsidR="00225C4F" w:rsidRDefault="00225C4F">
            <w:pPr>
              <w:pStyle w:val="a6"/>
              <w:widowControl/>
              <w:spacing w:beforeAutospacing="0" w:afterAutospacing="0"/>
              <w:jc w:val="both"/>
              <w:rPr>
                <w:rFonts w:ascii="宋体" w:eastAsia="宋体" w:hAnsi="宋体" w:cs="宋体"/>
                <w:color w:val="000000"/>
                <w:spacing w:val="7"/>
                <w:sz w:val="19"/>
                <w:szCs w:val="19"/>
                <w:shd w:val="clear" w:color="auto" w:fill="FFFFFF"/>
              </w:rPr>
            </w:pPr>
          </w:p>
        </w:tc>
        <w:tc>
          <w:tcPr>
            <w:tcW w:w="1420" w:type="dxa"/>
          </w:tcPr>
          <w:p w:rsidR="00225C4F" w:rsidRDefault="00225C4F">
            <w:pPr>
              <w:pStyle w:val="a6"/>
              <w:widowControl/>
              <w:spacing w:beforeAutospacing="0" w:afterAutospacing="0"/>
              <w:jc w:val="both"/>
              <w:rPr>
                <w:rFonts w:ascii="宋体" w:eastAsia="宋体" w:hAnsi="宋体" w:cs="宋体"/>
                <w:color w:val="000000"/>
                <w:spacing w:val="7"/>
                <w:sz w:val="19"/>
                <w:szCs w:val="19"/>
                <w:shd w:val="clear" w:color="auto" w:fill="FFFFFF"/>
              </w:rPr>
            </w:pPr>
          </w:p>
        </w:tc>
        <w:tc>
          <w:tcPr>
            <w:tcW w:w="1420" w:type="dxa"/>
          </w:tcPr>
          <w:p w:rsidR="00225C4F" w:rsidRDefault="00225C4F">
            <w:pPr>
              <w:pStyle w:val="a6"/>
              <w:widowControl/>
              <w:spacing w:beforeAutospacing="0" w:afterAutospacing="0"/>
              <w:jc w:val="both"/>
              <w:rPr>
                <w:rFonts w:ascii="宋体" w:eastAsia="宋体" w:hAnsi="宋体" w:cs="宋体"/>
                <w:color w:val="000000"/>
                <w:spacing w:val="7"/>
                <w:sz w:val="19"/>
                <w:szCs w:val="19"/>
                <w:shd w:val="clear" w:color="auto" w:fill="FFFFFF"/>
              </w:rPr>
            </w:pPr>
          </w:p>
        </w:tc>
        <w:tc>
          <w:tcPr>
            <w:tcW w:w="1421" w:type="dxa"/>
          </w:tcPr>
          <w:p w:rsidR="00225C4F" w:rsidRDefault="00225C4F">
            <w:pPr>
              <w:pStyle w:val="a6"/>
              <w:widowControl/>
              <w:spacing w:beforeAutospacing="0" w:afterAutospacing="0"/>
              <w:jc w:val="both"/>
              <w:rPr>
                <w:rFonts w:ascii="宋体" w:eastAsia="宋体" w:hAnsi="宋体" w:cs="宋体"/>
                <w:color w:val="000000"/>
                <w:spacing w:val="7"/>
                <w:sz w:val="19"/>
                <w:szCs w:val="19"/>
                <w:shd w:val="clear" w:color="auto" w:fill="FFFFFF"/>
              </w:rPr>
            </w:pPr>
          </w:p>
        </w:tc>
        <w:tc>
          <w:tcPr>
            <w:tcW w:w="1336" w:type="dxa"/>
          </w:tcPr>
          <w:p w:rsidR="00225C4F" w:rsidRDefault="00225C4F">
            <w:pPr>
              <w:pStyle w:val="a6"/>
              <w:widowControl/>
              <w:spacing w:beforeAutospacing="0" w:afterAutospacing="0"/>
              <w:jc w:val="both"/>
              <w:rPr>
                <w:rFonts w:ascii="宋体" w:eastAsia="宋体" w:hAnsi="宋体" w:cs="宋体"/>
                <w:color w:val="000000"/>
                <w:spacing w:val="7"/>
                <w:sz w:val="19"/>
                <w:szCs w:val="19"/>
                <w:shd w:val="clear" w:color="auto" w:fill="FFFFFF"/>
              </w:rPr>
            </w:pPr>
          </w:p>
        </w:tc>
      </w:tr>
      <w:tr w:rsidR="00225C4F">
        <w:tc>
          <w:tcPr>
            <w:tcW w:w="1420" w:type="dxa"/>
          </w:tcPr>
          <w:p w:rsidR="00225C4F" w:rsidRDefault="001935FC">
            <w:pPr>
              <w:pStyle w:val="a6"/>
              <w:widowControl/>
              <w:spacing w:beforeAutospacing="0" w:afterAutospacing="0"/>
              <w:jc w:val="both"/>
              <w:rPr>
                <w:rFonts w:ascii="宋体" w:eastAsia="宋体" w:hAnsi="宋体" w:cs="宋体"/>
                <w:color w:val="000000"/>
                <w:spacing w:val="7"/>
                <w:sz w:val="19"/>
                <w:szCs w:val="19"/>
                <w:shd w:val="clear" w:color="auto" w:fill="FFFFFF"/>
              </w:rPr>
            </w:pPr>
            <w:r>
              <w:rPr>
                <w:rFonts w:ascii="宋体" w:eastAsia="宋体" w:hAnsi="宋体" w:cs="宋体" w:hint="eastAsia"/>
                <w:color w:val="000000"/>
                <w:spacing w:val="7"/>
                <w:sz w:val="19"/>
                <w:szCs w:val="19"/>
                <w:shd w:val="clear" w:color="auto" w:fill="FFFFFF"/>
              </w:rPr>
              <w:t>3</w:t>
            </w:r>
          </w:p>
        </w:tc>
        <w:tc>
          <w:tcPr>
            <w:tcW w:w="1420" w:type="dxa"/>
          </w:tcPr>
          <w:p w:rsidR="00225C4F" w:rsidRDefault="00225C4F">
            <w:pPr>
              <w:pStyle w:val="a6"/>
              <w:widowControl/>
              <w:spacing w:beforeAutospacing="0" w:afterAutospacing="0"/>
              <w:jc w:val="both"/>
              <w:rPr>
                <w:rFonts w:ascii="宋体" w:eastAsia="宋体" w:hAnsi="宋体" w:cs="宋体"/>
                <w:color w:val="000000"/>
                <w:spacing w:val="7"/>
                <w:sz w:val="19"/>
                <w:szCs w:val="19"/>
                <w:shd w:val="clear" w:color="auto" w:fill="FFFFFF"/>
              </w:rPr>
            </w:pPr>
          </w:p>
        </w:tc>
        <w:tc>
          <w:tcPr>
            <w:tcW w:w="1420" w:type="dxa"/>
          </w:tcPr>
          <w:p w:rsidR="00225C4F" w:rsidRDefault="00225C4F">
            <w:pPr>
              <w:pStyle w:val="a6"/>
              <w:widowControl/>
              <w:spacing w:beforeAutospacing="0" w:afterAutospacing="0"/>
              <w:jc w:val="both"/>
              <w:rPr>
                <w:rFonts w:ascii="宋体" w:eastAsia="宋体" w:hAnsi="宋体" w:cs="宋体"/>
                <w:color w:val="000000"/>
                <w:spacing w:val="7"/>
                <w:sz w:val="19"/>
                <w:szCs w:val="19"/>
                <w:shd w:val="clear" w:color="auto" w:fill="FFFFFF"/>
              </w:rPr>
            </w:pPr>
          </w:p>
        </w:tc>
        <w:tc>
          <w:tcPr>
            <w:tcW w:w="1420" w:type="dxa"/>
          </w:tcPr>
          <w:p w:rsidR="00225C4F" w:rsidRDefault="00225C4F">
            <w:pPr>
              <w:pStyle w:val="a6"/>
              <w:widowControl/>
              <w:spacing w:beforeAutospacing="0" w:afterAutospacing="0"/>
              <w:jc w:val="both"/>
              <w:rPr>
                <w:rFonts w:ascii="宋体" w:eastAsia="宋体" w:hAnsi="宋体" w:cs="宋体"/>
                <w:color w:val="000000"/>
                <w:spacing w:val="7"/>
                <w:sz w:val="19"/>
                <w:szCs w:val="19"/>
                <w:shd w:val="clear" w:color="auto" w:fill="FFFFFF"/>
              </w:rPr>
            </w:pPr>
          </w:p>
        </w:tc>
        <w:tc>
          <w:tcPr>
            <w:tcW w:w="1421" w:type="dxa"/>
          </w:tcPr>
          <w:p w:rsidR="00225C4F" w:rsidRDefault="00225C4F">
            <w:pPr>
              <w:pStyle w:val="a6"/>
              <w:widowControl/>
              <w:spacing w:beforeAutospacing="0" w:afterAutospacing="0"/>
              <w:jc w:val="both"/>
              <w:rPr>
                <w:rFonts w:ascii="宋体" w:eastAsia="宋体" w:hAnsi="宋体" w:cs="宋体"/>
                <w:color w:val="000000"/>
                <w:spacing w:val="7"/>
                <w:sz w:val="19"/>
                <w:szCs w:val="19"/>
                <w:shd w:val="clear" w:color="auto" w:fill="FFFFFF"/>
              </w:rPr>
            </w:pPr>
          </w:p>
        </w:tc>
        <w:tc>
          <w:tcPr>
            <w:tcW w:w="1336" w:type="dxa"/>
          </w:tcPr>
          <w:p w:rsidR="00225C4F" w:rsidRDefault="00225C4F">
            <w:pPr>
              <w:pStyle w:val="a6"/>
              <w:widowControl/>
              <w:spacing w:beforeAutospacing="0" w:afterAutospacing="0"/>
              <w:jc w:val="both"/>
              <w:rPr>
                <w:rFonts w:ascii="宋体" w:eastAsia="宋体" w:hAnsi="宋体" w:cs="宋体"/>
                <w:color w:val="000000"/>
                <w:spacing w:val="7"/>
                <w:sz w:val="19"/>
                <w:szCs w:val="19"/>
                <w:shd w:val="clear" w:color="auto" w:fill="FFFFFF"/>
              </w:rPr>
            </w:pPr>
          </w:p>
        </w:tc>
      </w:tr>
      <w:tr w:rsidR="00225C4F">
        <w:tc>
          <w:tcPr>
            <w:tcW w:w="1420" w:type="dxa"/>
          </w:tcPr>
          <w:p w:rsidR="00225C4F" w:rsidRDefault="001935FC">
            <w:pPr>
              <w:pStyle w:val="a6"/>
              <w:widowControl/>
              <w:spacing w:beforeAutospacing="0" w:afterAutospacing="0"/>
              <w:jc w:val="both"/>
              <w:rPr>
                <w:rFonts w:ascii="宋体" w:eastAsia="宋体" w:hAnsi="宋体" w:cs="宋体"/>
                <w:color w:val="000000"/>
                <w:spacing w:val="7"/>
                <w:sz w:val="19"/>
                <w:szCs w:val="19"/>
                <w:shd w:val="clear" w:color="auto" w:fill="FFFFFF"/>
              </w:rPr>
            </w:pPr>
            <w:r>
              <w:rPr>
                <w:rFonts w:ascii="宋体" w:eastAsia="宋体" w:hAnsi="宋体" w:cs="宋体" w:hint="eastAsia"/>
                <w:color w:val="000000"/>
                <w:spacing w:val="7"/>
                <w:sz w:val="19"/>
                <w:szCs w:val="19"/>
                <w:shd w:val="clear" w:color="auto" w:fill="FFFFFF"/>
              </w:rPr>
              <w:t>4</w:t>
            </w:r>
          </w:p>
        </w:tc>
        <w:tc>
          <w:tcPr>
            <w:tcW w:w="1420" w:type="dxa"/>
          </w:tcPr>
          <w:p w:rsidR="00225C4F" w:rsidRDefault="00225C4F">
            <w:pPr>
              <w:pStyle w:val="a6"/>
              <w:widowControl/>
              <w:spacing w:beforeAutospacing="0" w:afterAutospacing="0"/>
              <w:jc w:val="both"/>
              <w:rPr>
                <w:rFonts w:ascii="宋体" w:eastAsia="宋体" w:hAnsi="宋体" w:cs="宋体"/>
                <w:color w:val="000000"/>
                <w:spacing w:val="7"/>
                <w:sz w:val="19"/>
                <w:szCs w:val="19"/>
                <w:shd w:val="clear" w:color="auto" w:fill="FFFFFF"/>
              </w:rPr>
            </w:pPr>
          </w:p>
        </w:tc>
        <w:tc>
          <w:tcPr>
            <w:tcW w:w="1420" w:type="dxa"/>
          </w:tcPr>
          <w:p w:rsidR="00225C4F" w:rsidRDefault="00225C4F">
            <w:pPr>
              <w:pStyle w:val="a6"/>
              <w:widowControl/>
              <w:spacing w:beforeAutospacing="0" w:afterAutospacing="0"/>
              <w:jc w:val="both"/>
              <w:rPr>
                <w:rFonts w:ascii="宋体" w:eastAsia="宋体" w:hAnsi="宋体" w:cs="宋体"/>
                <w:color w:val="000000"/>
                <w:spacing w:val="7"/>
                <w:sz w:val="19"/>
                <w:szCs w:val="19"/>
                <w:shd w:val="clear" w:color="auto" w:fill="FFFFFF"/>
              </w:rPr>
            </w:pPr>
          </w:p>
        </w:tc>
        <w:tc>
          <w:tcPr>
            <w:tcW w:w="1420" w:type="dxa"/>
          </w:tcPr>
          <w:p w:rsidR="00225C4F" w:rsidRDefault="00225C4F">
            <w:pPr>
              <w:pStyle w:val="a6"/>
              <w:widowControl/>
              <w:spacing w:beforeAutospacing="0" w:afterAutospacing="0"/>
              <w:jc w:val="both"/>
              <w:rPr>
                <w:rFonts w:ascii="宋体" w:eastAsia="宋体" w:hAnsi="宋体" w:cs="宋体"/>
                <w:color w:val="000000"/>
                <w:spacing w:val="7"/>
                <w:sz w:val="19"/>
                <w:szCs w:val="19"/>
                <w:shd w:val="clear" w:color="auto" w:fill="FFFFFF"/>
              </w:rPr>
            </w:pPr>
          </w:p>
        </w:tc>
        <w:tc>
          <w:tcPr>
            <w:tcW w:w="1421" w:type="dxa"/>
          </w:tcPr>
          <w:p w:rsidR="00225C4F" w:rsidRDefault="00225C4F">
            <w:pPr>
              <w:pStyle w:val="a6"/>
              <w:widowControl/>
              <w:spacing w:beforeAutospacing="0" w:afterAutospacing="0"/>
              <w:jc w:val="both"/>
              <w:rPr>
                <w:rFonts w:ascii="宋体" w:eastAsia="宋体" w:hAnsi="宋体" w:cs="宋体"/>
                <w:color w:val="000000"/>
                <w:spacing w:val="7"/>
                <w:sz w:val="19"/>
                <w:szCs w:val="19"/>
                <w:shd w:val="clear" w:color="auto" w:fill="FFFFFF"/>
              </w:rPr>
            </w:pPr>
          </w:p>
        </w:tc>
        <w:tc>
          <w:tcPr>
            <w:tcW w:w="1336" w:type="dxa"/>
          </w:tcPr>
          <w:p w:rsidR="00225C4F" w:rsidRDefault="00225C4F">
            <w:pPr>
              <w:pStyle w:val="a6"/>
              <w:widowControl/>
              <w:spacing w:beforeAutospacing="0" w:afterAutospacing="0"/>
              <w:jc w:val="both"/>
              <w:rPr>
                <w:rFonts w:ascii="宋体" w:eastAsia="宋体" w:hAnsi="宋体" w:cs="宋体"/>
                <w:color w:val="000000"/>
                <w:spacing w:val="7"/>
                <w:sz w:val="19"/>
                <w:szCs w:val="19"/>
                <w:shd w:val="clear" w:color="auto" w:fill="FFFFFF"/>
              </w:rPr>
            </w:pPr>
          </w:p>
        </w:tc>
      </w:tr>
      <w:tr w:rsidR="00225C4F">
        <w:tc>
          <w:tcPr>
            <w:tcW w:w="1420" w:type="dxa"/>
          </w:tcPr>
          <w:p w:rsidR="00225C4F" w:rsidRDefault="001935FC">
            <w:pPr>
              <w:pStyle w:val="a6"/>
              <w:widowControl/>
              <w:spacing w:beforeAutospacing="0" w:afterAutospacing="0"/>
              <w:jc w:val="both"/>
              <w:rPr>
                <w:rFonts w:ascii="宋体" w:eastAsia="宋体" w:hAnsi="宋体" w:cs="宋体"/>
                <w:color w:val="000000"/>
                <w:spacing w:val="7"/>
                <w:sz w:val="19"/>
                <w:szCs w:val="19"/>
                <w:shd w:val="clear" w:color="auto" w:fill="FFFFFF"/>
              </w:rPr>
            </w:pPr>
            <w:r>
              <w:rPr>
                <w:rFonts w:ascii="宋体" w:eastAsia="宋体" w:hAnsi="宋体" w:cs="宋体" w:hint="eastAsia"/>
                <w:color w:val="000000"/>
                <w:spacing w:val="7"/>
                <w:sz w:val="19"/>
                <w:szCs w:val="19"/>
                <w:shd w:val="clear" w:color="auto" w:fill="FFFFFF"/>
              </w:rPr>
              <w:t>5</w:t>
            </w:r>
          </w:p>
        </w:tc>
        <w:tc>
          <w:tcPr>
            <w:tcW w:w="1420" w:type="dxa"/>
          </w:tcPr>
          <w:p w:rsidR="00225C4F" w:rsidRDefault="00225C4F">
            <w:pPr>
              <w:pStyle w:val="a6"/>
              <w:widowControl/>
              <w:spacing w:beforeAutospacing="0" w:afterAutospacing="0"/>
              <w:jc w:val="both"/>
              <w:rPr>
                <w:rFonts w:ascii="宋体" w:eastAsia="宋体" w:hAnsi="宋体" w:cs="宋体"/>
                <w:color w:val="000000"/>
                <w:spacing w:val="7"/>
                <w:sz w:val="19"/>
                <w:szCs w:val="19"/>
                <w:shd w:val="clear" w:color="auto" w:fill="FFFFFF"/>
              </w:rPr>
            </w:pPr>
          </w:p>
        </w:tc>
        <w:tc>
          <w:tcPr>
            <w:tcW w:w="1420" w:type="dxa"/>
          </w:tcPr>
          <w:p w:rsidR="00225C4F" w:rsidRDefault="00225C4F">
            <w:pPr>
              <w:pStyle w:val="a6"/>
              <w:widowControl/>
              <w:spacing w:beforeAutospacing="0" w:afterAutospacing="0"/>
              <w:jc w:val="both"/>
              <w:rPr>
                <w:rFonts w:ascii="宋体" w:eastAsia="宋体" w:hAnsi="宋体" w:cs="宋体"/>
                <w:color w:val="000000"/>
                <w:spacing w:val="7"/>
                <w:sz w:val="19"/>
                <w:szCs w:val="19"/>
                <w:shd w:val="clear" w:color="auto" w:fill="FFFFFF"/>
              </w:rPr>
            </w:pPr>
          </w:p>
        </w:tc>
        <w:tc>
          <w:tcPr>
            <w:tcW w:w="1420" w:type="dxa"/>
          </w:tcPr>
          <w:p w:rsidR="00225C4F" w:rsidRDefault="00225C4F">
            <w:pPr>
              <w:pStyle w:val="a6"/>
              <w:widowControl/>
              <w:spacing w:beforeAutospacing="0" w:afterAutospacing="0"/>
              <w:jc w:val="both"/>
              <w:rPr>
                <w:rFonts w:ascii="宋体" w:eastAsia="宋体" w:hAnsi="宋体" w:cs="宋体"/>
                <w:color w:val="000000"/>
                <w:spacing w:val="7"/>
                <w:sz w:val="19"/>
                <w:szCs w:val="19"/>
                <w:shd w:val="clear" w:color="auto" w:fill="FFFFFF"/>
              </w:rPr>
            </w:pPr>
          </w:p>
        </w:tc>
        <w:tc>
          <w:tcPr>
            <w:tcW w:w="1421" w:type="dxa"/>
          </w:tcPr>
          <w:p w:rsidR="00225C4F" w:rsidRDefault="00225C4F">
            <w:pPr>
              <w:pStyle w:val="a6"/>
              <w:widowControl/>
              <w:spacing w:beforeAutospacing="0" w:afterAutospacing="0"/>
              <w:jc w:val="both"/>
              <w:rPr>
                <w:rFonts w:ascii="宋体" w:eastAsia="宋体" w:hAnsi="宋体" w:cs="宋体"/>
                <w:color w:val="000000"/>
                <w:spacing w:val="7"/>
                <w:sz w:val="19"/>
                <w:szCs w:val="19"/>
                <w:shd w:val="clear" w:color="auto" w:fill="FFFFFF"/>
              </w:rPr>
            </w:pPr>
          </w:p>
        </w:tc>
        <w:tc>
          <w:tcPr>
            <w:tcW w:w="1336" w:type="dxa"/>
          </w:tcPr>
          <w:p w:rsidR="00225C4F" w:rsidRDefault="00225C4F">
            <w:pPr>
              <w:pStyle w:val="a6"/>
              <w:widowControl/>
              <w:spacing w:beforeAutospacing="0" w:afterAutospacing="0"/>
              <w:jc w:val="both"/>
              <w:rPr>
                <w:rFonts w:ascii="宋体" w:eastAsia="宋体" w:hAnsi="宋体" w:cs="宋体"/>
                <w:color w:val="000000"/>
                <w:spacing w:val="7"/>
                <w:sz w:val="19"/>
                <w:szCs w:val="19"/>
                <w:shd w:val="clear" w:color="auto" w:fill="FFFFFF"/>
              </w:rPr>
            </w:pPr>
          </w:p>
        </w:tc>
      </w:tr>
    </w:tbl>
    <w:p w:rsidR="00225C4F" w:rsidRDefault="001935FC">
      <w:pPr>
        <w:pStyle w:val="a6"/>
        <w:widowControl/>
        <w:shd w:val="clear" w:color="auto" w:fill="FFFFFF"/>
        <w:spacing w:beforeAutospacing="0" w:afterAutospacing="0"/>
        <w:jc w:val="both"/>
        <w:rPr>
          <w:rFonts w:ascii="Microsoft YaHei UI" w:eastAsia="Microsoft YaHei UI" w:hAnsi="Microsoft YaHei UI" w:cs="Microsoft YaHei UI"/>
          <w:color w:val="000000"/>
          <w:spacing w:val="7"/>
          <w:sz w:val="25"/>
          <w:szCs w:val="25"/>
        </w:rPr>
      </w:pPr>
      <w:r>
        <w:rPr>
          <w:rFonts w:ascii="宋体" w:eastAsia="宋体" w:hAnsi="宋体" w:cs="宋体" w:hint="eastAsia"/>
          <w:color w:val="000000"/>
          <w:spacing w:val="7"/>
          <w:sz w:val="19"/>
          <w:szCs w:val="19"/>
          <w:shd w:val="clear" w:color="auto" w:fill="FFFFFF"/>
        </w:rPr>
        <w:t>（五）股权及其收益、其他投资企业情况（附工商登记查询结果、股东信息等）</w:t>
      </w:r>
    </w:p>
    <w:tbl>
      <w:tblPr>
        <w:tblW w:w="8396" w:type="dxa"/>
        <w:shd w:val="clear" w:color="auto" w:fill="FFFFFF"/>
        <w:tblCellMar>
          <w:left w:w="0" w:type="dxa"/>
          <w:right w:w="0" w:type="dxa"/>
        </w:tblCellMar>
        <w:tblLook w:val="04A0"/>
      </w:tblPr>
      <w:tblGrid>
        <w:gridCol w:w="602"/>
        <w:gridCol w:w="1412"/>
        <w:gridCol w:w="1022"/>
        <w:gridCol w:w="1122"/>
        <w:gridCol w:w="1402"/>
        <w:gridCol w:w="2836"/>
      </w:tblGrid>
      <w:tr w:rsidR="00225C4F">
        <w:trPr>
          <w:trHeight w:val="697"/>
        </w:trPr>
        <w:tc>
          <w:tcPr>
            <w:tcW w:w="602" w:type="dxa"/>
            <w:tcBorders>
              <w:top w:val="single" w:sz="4" w:space="0" w:color="auto"/>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编号</w:t>
            </w:r>
          </w:p>
        </w:tc>
        <w:tc>
          <w:tcPr>
            <w:tcW w:w="1412"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企业名称</w:t>
            </w:r>
          </w:p>
        </w:tc>
        <w:tc>
          <w:tcPr>
            <w:tcW w:w="1022"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注册时间</w:t>
            </w:r>
          </w:p>
        </w:tc>
        <w:tc>
          <w:tcPr>
            <w:tcW w:w="1122"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注册资本</w:t>
            </w:r>
          </w:p>
        </w:tc>
        <w:tc>
          <w:tcPr>
            <w:tcW w:w="1402"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持股比例和持股数量</w:t>
            </w:r>
          </w:p>
        </w:tc>
        <w:tc>
          <w:tcPr>
            <w:tcW w:w="2836"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现总资产</w:t>
            </w:r>
          </w:p>
        </w:tc>
      </w:tr>
      <w:tr w:rsidR="00225C4F">
        <w:trPr>
          <w:trHeight w:val="360"/>
        </w:trPr>
        <w:tc>
          <w:tcPr>
            <w:tcW w:w="602" w:type="dxa"/>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1</w:t>
            </w:r>
          </w:p>
        </w:tc>
        <w:tc>
          <w:tcPr>
            <w:tcW w:w="141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02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12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40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2836"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r>
      <w:tr w:rsidR="00225C4F">
        <w:trPr>
          <w:trHeight w:val="360"/>
        </w:trPr>
        <w:tc>
          <w:tcPr>
            <w:tcW w:w="602" w:type="dxa"/>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2</w:t>
            </w:r>
          </w:p>
        </w:tc>
        <w:tc>
          <w:tcPr>
            <w:tcW w:w="141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02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12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40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2836"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r>
      <w:tr w:rsidR="00225C4F">
        <w:trPr>
          <w:trHeight w:val="360"/>
        </w:trPr>
        <w:tc>
          <w:tcPr>
            <w:tcW w:w="602" w:type="dxa"/>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3</w:t>
            </w:r>
          </w:p>
        </w:tc>
        <w:tc>
          <w:tcPr>
            <w:tcW w:w="141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02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12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40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2836"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r>
      <w:tr w:rsidR="00225C4F">
        <w:trPr>
          <w:trHeight w:val="360"/>
        </w:trPr>
        <w:tc>
          <w:tcPr>
            <w:tcW w:w="602" w:type="dxa"/>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4</w:t>
            </w:r>
          </w:p>
        </w:tc>
        <w:tc>
          <w:tcPr>
            <w:tcW w:w="141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02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12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40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2836"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r>
      <w:tr w:rsidR="00225C4F">
        <w:trPr>
          <w:trHeight w:val="360"/>
        </w:trPr>
        <w:tc>
          <w:tcPr>
            <w:tcW w:w="602" w:type="dxa"/>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5</w:t>
            </w:r>
          </w:p>
        </w:tc>
        <w:tc>
          <w:tcPr>
            <w:tcW w:w="141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02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12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40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2836"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r>
    </w:tbl>
    <w:p w:rsidR="00225C4F" w:rsidRDefault="001935FC">
      <w:pPr>
        <w:pStyle w:val="a6"/>
        <w:widowControl/>
        <w:shd w:val="clear" w:color="auto" w:fill="FFFFFF"/>
        <w:spacing w:beforeAutospacing="0" w:afterAutospacing="0"/>
        <w:jc w:val="both"/>
        <w:rPr>
          <w:rFonts w:ascii="宋体" w:eastAsia="宋体" w:hAnsi="宋体" w:cs="宋体"/>
          <w:color w:val="000000"/>
          <w:spacing w:val="7"/>
          <w:sz w:val="25"/>
          <w:szCs w:val="25"/>
        </w:rPr>
      </w:pPr>
      <w:r>
        <w:rPr>
          <w:rFonts w:ascii="宋体" w:eastAsia="宋体" w:hAnsi="宋体" w:cs="宋体" w:hint="eastAsia"/>
          <w:color w:val="000000"/>
          <w:spacing w:val="7"/>
          <w:sz w:val="19"/>
          <w:szCs w:val="19"/>
          <w:shd w:val="clear" w:color="auto" w:fill="FFFFFF"/>
        </w:rPr>
        <w:t>（六）股票、基金等有价证券（附最近一年的交易记录）</w:t>
      </w:r>
    </w:p>
    <w:tbl>
      <w:tblPr>
        <w:tblW w:w="8372" w:type="dxa"/>
        <w:shd w:val="clear" w:color="auto" w:fill="FFFFFF"/>
        <w:tblCellMar>
          <w:left w:w="0" w:type="dxa"/>
          <w:right w:w="0" w:type="dxa"/>
        </w:tblCellMar>
        <w:tblLook w:val="04A0"/>
      </w:tblPr>
      <w:tblGrid>
        <w:gridCol w:w="646"/>
        <w:gridCol w:w="1618"/>
        <w:gridCol w:w="1630"/>
        <w:gridCol w:w="1137"/>
        <w:gridCol w:w="3341"/>
      </w:tblGrid>
      <w:tr w:rsidR="00225C4F">
        <w:trPr>
          <w:trHeight w:val="660"/>
        </w:trPr>
        <w:tc>
          <w:tcPr>
            <w:tcW w:w="646" w:type="dxa"/>
            <w:tcBorders>
              <w:top w:val="single" w:sz="4" w:space="0" w:color="auto"/>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编号</w:t>
            </w:r>
          </w:p>
        </w:tc>
        <w:tc>
          <w:tcPr>
            <w:tcW w:w="1618"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证券名称</w:t>
            </w:r>
          </w:p>
        </w:tc>
        <w:tc>
          <w:tcPr>
            <w:tcW w:w="1630"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账户编号</w:t>
            </w:r>
          </w:p>
        </w:tc>
        <w:tc>
          <w:tcPr>
            <w:tcW w:w="1137"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持有数量</w:t>
            </w:r>
          </w:p>
        </w:tc>
        <w:tc>
          <w:tcPr>
            <w:tcW w:w="3341"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现值</w:t>
            </w:r>
          </w:p>
        </w:tc>
      </w:tr>
      <w:tr w:rsidR="00225C4F">
        <w:trPr>
          <w:trHeight w:val="409"/>
        </w:trPr>
        <w:tc>
          <w:tcPr>
            <w:tcW w:w="646" w:type="dxa"/>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1</w:t>
            </w:r>
          </w:p>
        </w:tc>
        <w:tc>
          <w:tcPr>
            <w:tcW w:w="1618"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630"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137"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3341"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r>
      <w:tr w:rsidR="00225C4F">
        <w:trPr>
          <w:trHeight w:val="409"/>
        </w:trPr>
        <w:tc>
          <w:tcPr>
            <w:tcW w:w="646" w:type="dxa"/>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2</w:t>
            </w:r>
          </w:p>
        </w:tc>
        <w:tc>
          <w:tcPr>
            <w:tcW w:w="1618"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630"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137"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3341"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r>
      <w:tr w:rsidR="00225C4F">
        <w:trPr>
          <w:trHeight w:val="409"/>
        </w:trPr>
        <w:tc>
          <w:tcPr>
            <w:tcW w:w="646" w:type="dxa"/>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3</w:t>
            </w:r>
          </w:p>
        </w:tc>
        <w:tc>
          <w:tcPr>
            <w:tcW w:w="1618"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630"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137"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3341"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r>
      <w:tr w:rsidR="00225C4F">
        <w:trPr>
          <w:trHeight w:val="389"/>
        </w:trPr>
        <w:tc>
          <w:tcPr>
            <w:tcW w:w="646" w:type="dxa"/>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4</w:t>
            </w:r>
          </w:p>
        </w:tc>
        <w:tc>
          <w:tcPr>
            <w:tcW w:w="1618"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630"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137"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3341"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r>
      <w:tr w:rsidR="00225C4F">
        <w:trPr>
          <w:trHeight w:val="421"/>
        </w:trPr>
        <w:tc>
          <w:tcPr>
            <w:tcW w:w="646" w:type="dxa"/>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5</w:t>
            </w:r>
          </w:p>
        </w:tc>
        <w:tc>
          <w:tcPr>
            <w:tcW w:w="1618"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630"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137"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3341"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r>
    </w:tbl>
    <w:p w:rsidR="00225C4F" w:rsidRDefault="001935FC">
      <w:pPr>
        <w:pStyle w:val="a6"/>
        <w:widowControl/>
        <w:shd w:val="clear" w:color="auto" w:fill="FFFFFF"/>
        <w:spacing w:beforeAutospacing="0" w:afterAutospacing="0"/>
        <w:jc w:val="both"/>
        <w:rPr>
          <w:rFonts w:ascii="宋体" w:eastAsia="宋体" w:hAnsi="宋体" w:cs="宋体"/>
          <w:color w:val="000000"/>
          <w:spacing w:val="7"/>
          <w:sz w:val="25"/>
          <w:szCs w:val="25"/>
        </w:rPr>
      </w:pPr>
      <w:r>
        <w:rPr>
          <w:rFonts w:ascii="宋体" w:eastAsia="宋体" w:hAnsi="宋体" w:cs="宋体" w:hint="eastAsia"/>
          <w:color w:val="000000"/>
          <w:spacing w:val="7"/>
          <w:sz w:val="19"/>
          <w:szCs w:val="19"/>
          <w:shd w:val="clear" w:color="auto" w:fill="FFFFFF"/>
        </w:rPr>
        <w:t>（七）知识产权的收益、继承或赠与所得财产等其他财产情况</w:t>
      </w:r>
    </w:p>
    <w:tbl>
      <w:tblPr>
        <w:tblW w:w="8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677"/>
        <w:gridCol w:w="914"/>
        <w:gridCol w:w="1163"/>
        <w:gridCol w:w="1536"/>
        <w:gridCol w:w="1163"/>
        <w:gridCol w:w="2960"/>
      </w:tblGrid>
      <w:tr w:rsidR="00225C4F">
        <w:tc>
          <w:tcPr>
            <w:tcW w:w="677" w:type="dxa"/>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编号</w:t>
            </w:r>
          </w:p>
        </w:tc>
        <w:tc>
          <w:tcPr>
            <w:tcW w:w="914" w:type="dxa"/>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财产名称</w:t>
            </w:r>
          </w:p>
        </w:tc>
        <w:tc>
          <w:tcPr>
            <w:tcW w:w="1163" w:type="dxa"/>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权属证明</w:t>
            </w:r>
          </w:p>
        </w:tc>
        <w:tc>
          <w:tcPr>
            <w:tcW w:w="1536" w:type="dxa"/>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取得时间和方式</w:t>
            </w:r>
          </w:p>
        </w:tc>
        <w:tc>
          <w:tcPr>
            <w:tcW w:w="1163" w:type="dxa"/>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取得时价值</w:t>
            </w:r>
          </w:p>
        </w:tc>
        <w:tc>
          <w:tcPr>
            <w:tcW w:w="2960" w:type="dxa"/>
            <w:shd w:val="clear" w:color="auto" w:fill="FFFFFF"/>
            <w:tcMar>
              <w:left w:w="84" w:type="dxa"/>
              <w:right w:w="84" w:type="dxa"/>
            </w:tcMar>
            <w:vAlign w:val="center"/>
          </w:tcPr>
          <w:p w:rsidR="00225C4F" w:rsidRDefault="00225C4F">
            <w:pPr>
              <w:pStyle w:val="a6"/>
              <w:widowControl/>
              <w:wordWrap w:val="0"/>
              <w:spacing w:beforeAutospacing="0" w:afterAutospacing="0"/>
              <w:jc w:val="center"/>
              <w:rPr>
                <w:rFonts w:ascii="宋体" w:eastAsia="宋体" w:hAnsi="宋体" w:cs="宋体"/>
                <w:sz w:val="25"/>
                <w:szCs w:val="25"/>
              </w:rPr>
            </w:pPr>
          </w:p>
        </w:tc>
      </w:tr>
      <w:tr w:rsidR="00225C4F">
        <w:tc>
          <w:tcPr>
            <w:tcW w:w="677" w:type="dxa"/>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1</w:t>
            </w:r>
          </w:p>
        </w:tc>
        <w:tc>
          <w:tcPr>
            <w:tcW w:w="914" w:type="dxa"/>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163" w:type="dxa"/>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536" w:type="dxa"/>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163" w:type="dxa"/>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2960" w:type="dxa"/>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r>
      <w:tr w:rsidR="00225C4F">
        <w:tc>
          <w:tcPr>
            <w:tcW w:w="677" w:type="dxa"/>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2</w:t>
            </w:r>
          </w:p>
        </w:tc>
        <w:tc>
          <w:tcPr>
            <w:tcW w:w="914" w:type="dxa"/>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163" w:type="dxa"/>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536" w:type="dxa"/>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163" w:type="dxa"/>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2960" w:type="dxa"/>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r>
      <w:tr w:rsidR="00225C4F">
        <w:tc>
          <w:tcPr>
            <w:tcW w:w="677" w:type="dxa"/>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3</w:t>
            </w:r>
          </w:p>
        </w:tc>
        <w:tc>
          <w:tcPr>
            <w:tcW w:w="914" w:type="dxa"/>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163" w:type="dxa"/>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536" w:type="dxa"/>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163" w:type="dxa"/>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2960" w:type="dxa"/>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r>
      <w:tr w:rsidR="00225C4F">
        <w:tc>
          <w:tcPr>
            <w:tcW w:w="677" w:type="dxa"/>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color w:val="333333"/>
                <w:spacing w:val="7"/>
                <w:sz w:val="19"/>
                <w:szCs w:val="19"/>
              </w:rPr>
            </w:pPr>
            <w:r>
              <w:rPr>
                <w:rFonts w:ascii="宋体" w:eastAsia="宋体" w:hAnsi="宋体" w:cs="宋体" w:hint="eastAsia"/>
                <w:color w:val="333333"/>
                <w:spacing w:val="7"/>
                <w:sz w:val="19"/>
                <w:szCs w:val="19"/>
              </w:rPr>
              <w:lastRenderedPageBreak/>
              <w:t>4</w:t>
            </w:r>
          </w:p>
        </w:tc>
        <w:tc>
          <w:tcPr>
            <w:tcW w:w="914" w:type="dxa"/>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163" w:type="dxa"/>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536" w:type="dxa"/>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163" w:type="dxa"/>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2960" w:type="dxa"/>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r>
      <w:tr w:rsidR="00225C4F">
        <w:tc>
          <w:tcPr>
            <w:tcW w:w="677" w:type="dxa"/>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color w:val="333333"/>
                <w:spacing w:val="7"/>
                <w:sz w:val="19"/>
                <w:szCs w:val="19"/>
              </w:rPr>
            </w:pPr>
            <w:r>
              <w:rPr>
                <w:rFonts w:ascii="宋体" w:eastAsia="宋体" w:hAnsi="宋体" w:cs="宋体" w:hint="eastAsia"/>
                <w:color w:val="333333"/>
                <w:spacing w:val="7"/>
                <w:sz w:val="19"/>
                <w:szCs w:val="19"/>
              </w:rPr>
              <w:t>5</w:t>
            </w:r>
          </w:p>
        </w:tc>
        <w:tc>
          <w:tcPr>
            <w:tcW w:w="914" w:type="dxa"/>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163" w:type="dxa"/>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536" w:type="dxa"/>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163" w:type="dxa"/>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2960" w:type="dxa"/>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r>
    </w:tbl>
    <w:p w:rsidR="00225C4F" w:rsidRDefault="001935FC">
      <w:pPr>
        <w:pStyle w:val="a6"/>
        <w:widowControl/>
        <w:shd w:val="clear" w:color="auto" w:fill="FFFFFF"/>
        <w:spacing w:beforeAutospacing="0" w:afterAutospacing="0"/>
        <w:jc w:val="both"/>
        <w:rPr>
          <w:rFonts w:ascii="宋体" w:eastAsia="宋体" w:hAnsi="宋体" w:cs="宋体"/>
          <w:color w:val="000000"/>
          <w:spacing w:val="7"/>
          <w:sz w:val="25"/>
          <w:szCs w:val="25"/>
        </w:rPr>
      </w:pPr>
      <w:r>
        <w:rPr>
          <w:rFonts w:ascii="宋体" w:eastAsia="宋体" w:hAnsi="宋体" w:cs="宋体" w:hint="eastAsia"/>
          <w:color w:val="000000"/>
          <w:spacing w:val="7"/>
          <w:sz w:val="19"/>
          <w:szCs w:val="19"/>
          <w:shd w:val="clear" w:color="auto" w:fill="FFFFFF"/>
        </w:rPr>
        <w:t>四、其他须申报的内容</w:t>
      </w:r>
    </w:p>
    <w:p w:rsidR="00225C4F" w:rsidRDefault="001935FC">
      <w:pPr>
        <w:pStyle w:val="a6"/>
        <w:widowControl/>
        <w:shd w:val="clear" w:color="auto" w:fill="FFFFFF"/>
        <w:spacing w:beforeAutospacing="0" w:afterAutospacing="0"/>
        <w:jc w:val="both"/>
        <w:rPr>
          <w:rFonts w:ascii="宋体" w:eastAsia="宋体" w:hAnsi="宋体" w:cs="宋体"/>
          <w:color w:val="000000"/>
          <w:spacing w:val="7"/>
          <w:sz w:val="25"/>
          <w:szCs w:val="25"/>
        </w:rPr>
      </w:pPr>
      <w:r>
        <w:rPr>
          <w:rFonts w:ascii="宋体" w:eastAsia="宋体" w:hAnsi="宋体" w:cs="宋体" w:hint="eastAsia"/>
          <w:color w:val="000000"/>
          <w:spacing w:val="7"/>
          <w:sz w:val="19"/>
          <w:szCs w:val="19"/>
          <w:shd w:val="clear" w:color="auto" w:fill="FFFFFF"/>
        </w:rPr>
        <w:t>（一）债权</w:t>
      </w:r>
    </w:p>
    <w:tbl>
      <w:tblPr>
        <w:tblW w:w="8413" w:type="dxa"/>
        <w:shd w:val="clear" w:color="auto" w:fill="FFFFFF"/>
        <w:tblCellMar>
          <w:left w:w="0" w:type="dxa"/>
          <w:right w:w="0" w:type="dxa"/>
        </w:tblCellMar>
        <w:tblLook w:val="04A0"/>
      </w:tblPr>
      <w:tblGrid>
        <w:gridCol w:w="674"/>
        <w:gridCol w:w="1154"/>
        <w:gridCol w:w="1216"/>
        <w:gridCol w:w="1154"/>
        <w:gridCol w:w="1133"/>
        <w:gridCol w:w="3082"/>
      </w:tblGrid>
      <w:tr w:rsidR="00225C4F">
        <w:trPr>
          <w:trHeight w:val="745"/>
        </w:trPr>
        <w:tc>
          <w:tcPr>
            <w:tcW w:w="674" w:type="dxa"/>
            <w:tcBorders>
              <w:top w:val="single" w:sz="4" w:space="0" w:color="auto"/>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编号</w:t>
            </w:r>
          </w:p>
        </w:tc>
        <w:tc>
          <w:tcPr>
            <w:tcW w:w="1154"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债权人</w:t>
            </w:r>
          </w:p>
        </w:tc>
        <w:tc>
          <w:tcPr>
            <w:tcW w:w="1216"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债务人</w:t>
            </w:r>
          </w:p>
        </w:tc>
        <w:tc>
          <w:tcPr>
            <w:tcW w:w="1154"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金额</w:t>
            </w:r>
          </w:p>
        </w:tc>
        <w:tc>
          <w:tcPr>
            <w:tcW w:w="1133"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发生时间</w:t>
            </w:r>
          </w:p>
        </w:tc>
        <w:tc>
          <w:tcPr>
            <w:tcW w:w="3082"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备注</w:t>
            </w:r>
          </w:p>
        </w:tc>
      </w:tr>
      <w:tr w:rsidR="00225C4F">
        <w:trPr>
          <w:trHeight w:val="360"/>
        </w:trPr>
        <w:tc>
          <w:tcPr>
            <w:tcW w:w="674" w:type="dxa"/>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1</w:t>
            </w:r>
          </w:p>
        </w:tc>
        <w:tc>
          <w:tcPr>
            <w:tcW w:w="1154"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216"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154"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133"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308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r>
      <w:tr w:rsidR="00225C4F">
        <w:trPr>
          <w:trHeight w:val="360"/>
        </w:trPr>
        <w:tc>
          <w:tcPr>
            <w:tcW w:w="674" w:type="dxa"/>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2</w:t>
            </w:r>
          </w:p>
        </w:tc>
        <w:tc>
          <w:tcPr>
            <w:tcW w:w="1154"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216"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154"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133"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308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r>
      <w:tr w:rsidR="00225C4F">
        <w:trPr>
          <w:trHeight w:val="420"/>
        </w:trPr>
        <w:tc>
          <w:tcPr>
            <w:tcW w:w="674" w:type="dxa"/>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3</w:t>
            </w:r>
          </w:p>
        </w:tc>
        <w:tc>
          <w:tcPr>
            <w:tcW w:w="1154"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216"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154"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133"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308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r>
      <w:tr w:rsidR="00225C4F">
        <w:trPr>
          <w:trHeight w:val="396"/>
        </w:trPr>
        <w:tc>
          <w:tcPr>
            <w:tcW w:w="674" w:type="dxa"/>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4</w:t>
            </w:r>
          </w:p>
        </w:tc>
        <w:tc>
          <w:tcPr>
            <w:tcW w:w="1154"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216"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154"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133"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308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r>
      <w:tr w:rsidR="00225C4F">
        <w:trPr>
          <w:trHeight w:val="360"/>
        </w:trPr>
        <w:tc>
          <w:tcPr>
            <w:tcW w:w="674" w:type="dxa"/>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5</w:t>
            </w:r>
          </w:p>
        </w:tc>
        <w:tc>
          <w:tcPr>
            <w:tcW w:w="1154"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216"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154"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133"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308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r>
    </w:tbl>
    <w:p w:rsidR="00225C4F" w:rsidRDefault="001935FC">
      <w:pPr>
        <w:pStyle w:val="a6"/>
        <w:widowControl/>
        <w:shd w:val="clear" w:color="auto" w:fill="FFFFFF"/>
        <w:spacing w:beforeAutospacing="0" w:afterAutospacing="0"/>
        <w:jc w:val="both"/>
        <w:rPr>
          <w:rFonts w:ascii="宋体" w:eastAsia="宋体" w:hAnsi="宋体" w:cs="宋体"/>
          <w:color w:val="000000"/>
          <w:spacing w:val="7"/>
          <w:sz w:val="25"/>
          <w:szCs w:val="25"/>
        </w:rPr>
      </w:pPr>
      <w:r>
        <w:rPr>
          <w:rFonts w:ascii="宋体" w:eastAsia="宋体" w:hAnsi="宋体" w:cs="宋体" w:hint="eastAsia"/>
          <w:color w:val="000000"/>
          <w:spacing w:val="7"/>
          <w:sz w:val="19"/>
          <w:szCs w:val="19"/>
          <w:shd w:val="clear" w:color="auto" w:fill="FFFFFF"/>
        </w:rPr>
        <w:t>（二）债务</w:t>
      </w:r>
    </w:p>
    <w:tbl>
      <w:tblPr>
        <w:tblW w:w="8224" w:type="dxa"/>
        <w:shd w:val="clear" w:color="auto" w:fill="FFFFFF"/>
        <w:tblCellMar>
          <w:left w:w="0" w:type="dxa"/>
          <w:right w:w="0" w:type="dxa"/>
        </w:tblCellMar>
        <w:tblLook w:val="04A0"/>
      </w:tblPr>
      <w:tblGrid>
        <w:gridCol w:w="799"/>
        <w:gridCol w:w="1154"/>
        <w:gridCol w:w="1216"/>
        <w:gridCol w:w="1154"/>
        <w:gridCol w:w="1133"/>
        <w:gridCol w:w="2768"/>
      </w:tblGrid>
      <w:tr w:rsidR="00225C4F">
        <w:trPr>
          <w:trHeight w:val="493"/>
        </w:trPr>
        <w:tc>
          <w:tcPr>
            <w:tcW w:w="799" w:type="dxa"/>
            <w:tcBorders>
              <w:top w:val="single" w:sz="4" w:space="0" w:color="auto"/>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编号</w:t>
            </w:r>
          </w:p>
        </w:tc>
        <w:tc>
          <w:tcPr>
            <w:tcW w:w="1154"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债权人</w:t>
            </w:r>
          </w:p>
        </w:tc>
        <w:tc>
          <w:tcPr>
            <w:tcW w:w="1216"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债务人</w:t>
            </w:r>
          </w:p>
        </w:tc>
        <w:tc>
          <w:tcPr>
            <w:tcW w:w="1154"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金额</w:t>
            </w:r>
          </w:p>
        </w:tc>
        <w:tc>
          <w:tcPr>
            <w:tcW w:w="1133"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发生时间</w:t>
            </w:r>
          </w:p>
        </w:tc>
        <w:tc>
          <w:tcPr>
            <w:tcW w:w="2768"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备注</w:t>
            </w:r>
          </w:p>
        </w:tc>
      </w:tr>
      <w:tr w:rsidR="00225C4F">
        <w:trPr>
          <w:trHeight w:val="360"/>
        </w:trPr>
        <w:tc>
          <w:tcPr>
            <w:tcW w:w="799" w:type="dxa"/>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1</w:t>
            </w:r>
          </w:p>
        </w:tc>
        <w:tc>
          <w:tcPr>
            <w:tcW w:w="1154"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216"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154"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133"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2768"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r>
      <w:tr w:rsidR="00225C4F">
        <w:trPr>
          <w:trHeight w:val="360"/>
        </w:trPr>
        <w:tc>
          <w:tcPr>
            <w:tcW w:w="799" w:type="dxa"/>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2</w:t>
            </w:r>
          </w:p>
        </w:tc>
        <w:tc>
          <w:tcPr>
            <w:tcW w:w="1154"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216"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154"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133"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2768"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r>
      <w:tr w:rsidR="00225C4F">
        <w:trPr>
          <w:trHeight w:val="360"/>
        </w:trPr>
        <w:tc>
          <w:tcPr>
            <w:tcW w:w="799" w:type="dxa"/>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3</w:t>
            </w:r>
          </w:p>
        </w:tc>
        <w:tc>
          <w:tcPr>
            <w:tcW w:w="1154"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216"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154"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133"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2768"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r>
      <w:tr w:rsidR="00225C4F">
        <w:trPr>
          <w:trHeight w:val="505"/>
        </w:trPr>
        <w:tc>
          <w:tcPr>
            <w:tcW w:w="799" w:type="dxa"/>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4</w:t>
            </w:r>
          </w:p>
        </w:tc>
        <w:tc>
          <w:tcPr>
            <w:tcW w:w="1154"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216"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154"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133"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2768"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r>
      <w:tr w:rsidR="00225C4F">
        <w:trPr>
          <w:trHeight w:val="349"/>
        </w:trPr>
        <w:tc>
          <w:tcPr>
            <w:tcW w:w="799" w:type="dxa"/>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5</w:t>
            </w:r>
          </w:p>
        </w:tc>
        <w:tc>
          <w:tcPr>
            <w:tcW w:w="1154"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216"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154"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1133"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2768"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r>
    </w:tbl>
    <w:p w:rsidR="00225C4F" w:rsidRDefault="001935FC">
      <w:pPr>
        <w:pStyle w:val="a6"/>
        <w:widowControl/>
        <w:shd w:val="clear" w:color="auto" w:fill="FFFFFF"/>
        <w:spacing w:beforeAutospacing="0" w:afterAutospacing="0"/>
        <w:jc w:val="both"/>
        <w:rPr>
          <w:rFonts w:ascii="宋体" w:eastAsia="宋体" w:hAnsi="宋体" w:cs="宋体"/>
          <w:color w:val="000000"/>
          <w:spacing w:val="7"/>
          <w:sz w:val="25"/>
          <w:szCs w:val="25"/>
        </w:rPr>
      </w:pPr>
      <w:r>
        <w:rPr>
          <w:rFonts w:ascii="宋体" w:eastAsia="宋体" w:hAnsi="宋体" w:cs="宋体" w:hint="eastAsia"/>
          <w:color w:val="000000"/>
          <w:spacing w:val="7"/>
          <w:sz w:val="19"/>
          <w:szCs w:val="19"/>
          <w:shd w:val="clear" w:color="auto" w:fill="FFFFFF"/>
        </w:rPr>
        <w:t>（三）婚前购买，婚后还贷的动产或不动产</w:t>
      </w:r>
    </w:p>
    <w:tbl>
      <w:tblPr>
        <w:tblW w:w="8199" w:type="dxa"/>
        <w:shd w:val="clear" w:color="auto" w:fill="FFFFFF"/>
        <w:tblCellMar>
          <w:left w:w="0" w:type="dxa"/>
          <w:right w:w="0" w:type="dxa"/>
        </w:tblCellMar>
        <w:tblLook w:val="04A0"/>
      </w:tblPr>
      <w:tblGrid>
        <w:gridCol w:w="586"/>
        <w:gridCol w:w="1005"/>
        <w:gridCol w:w="642"/>
        <w:gridCol w:w="642"/>
        <w:gridCol w:w="642"/>
        <w:gridCol w:w="717"/>
        <w:gridCol w:w="530"/>
        <w:gridCol w:w="642"/>
        <w:gridCol w:w="642"/>
        <w:gridCol w:w="2151"/>
      </w:tblGrid>
      <w:tr w:rsidR="00225C4F">
        <w:trPr>
          <w:trHeight w:val="1608"/>
        </w:trPr>
        <w:tc>
          <w:tcPr>
            <w:tcW w:w="586" w:type="dxa"/>
            <w:tcBorders>
              <w:top w:val="single" w:sz="4" w:space="0" w:color="auto"/>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编号</w:t>
            </w:r>
          </w:p>
        </w:tc>
        <w:tc>
          <w:tcPr>
            <w:tcW w:w="1005"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地址或方位</w:t>
            </w:r>
          </w:p>
        </w:tc>
        <w:tc>
          <w:tcPr>
            <w:tcW w:w="642"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权属登记情况</w:t>
            </w:r>
          </w:p>
        </w:tc>
        <w:tc>
          <w:tcPr>
            <w:tcW w:w="642"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取得时间和方式</w:t>
            </w:r>
          </w:p>
        </w:tc>
        <w:tc>
          <w:tcPr>
            <w:tcW w:w="642"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 </w:t>
            </w:r>
          </w:p>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取得时价值</w:t>
            </w:r>
          </w:p>
        </w:tc>
        <w:tc>
          <w:tcPr>
            <w:tcW w:w="717"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首付款金额及支付时间</w:t>
            </w:r>
          </w:p>
        </w:tc>
        <w:tc>
          <w:tcPr>
            <w:tcW w:w="530"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向银行贷款金额</w:t>
            </w:r>
          </w:p>
        </w:tc>
        <w:tc>
          <w:tcPr>
            <w:tcW w:w="642"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婚前还贷期间和金额</w:t>
            </w:r>
          </w:p>
        </w:tc>
        <w:tc>
          <w:tcPr>
            <w:tcW w:w="642"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婚后还贷期间和金额</w:t>
            </w:r>
          </w:p>
        </w:tc>
        <w:tc>
          <w:tcPr>
            <w:tcW w:w="2151"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备注</w:t>
            </w:r>
          </w:p>
        </w:tc>
      </w:tr>
      <w:tr w:rsidR="00225C4F">
        <w:trPr>
          <w:trHeight w:val="360"/>
        </w:trPr>
        <w:tc>
          <w:tcPr>
            <w:tcW w:w="586" w:type="dxa"/>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1</w:t>
            </w:r>
          </w:p>
        </w:tc>
        <w:tc>
          <w:tcPr>
            <w:tcW w:w="1005"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64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64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64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717"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530"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64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64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2151"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r>
      <w:tr w:rsidR="00225C4F">
        <w:trPr>
          <w:trHeight w:val="493"/>
        </w:trPr>
        <w:tc>
          <w:tcPr>
            <w:tcW w:w="586" w:type="dxa"/>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2</w:t>
            </w:r>
          </w:p>
        </w:tc>
        <w:tc>
          <w:tcPr>
            <w:tcW w:w="1005"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64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64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64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717"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530"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64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64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2151"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r>
      <w:tr w:rsidR="00225C4F">
        <w:trPr>
          <w:trHeight w:val="505"/>
        </w:trPr>
        <w:tc>
          <w:tcPr>
            <w:tcW w:w="586" w:type="dxa"/>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3</w:t>
            </w:r>
          </w:p>
        </w:tc>
        <w:tc>
          <w:tcPr>
            <w:tcW w:w="1005"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64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64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64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717"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530"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64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64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2151"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r>
      <w:tr w:rsidR="00225C4F">
        <w:trPr>
          <w:trHeight w:val="505"/>
        </w:trPr>
        <w:tc>
          <w:tcPr>
            <w:tcW w:w="586" w:type="dxa"/>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color w:val="333333"/>
                <w:spacing w:val="7"/>
                <w:sz w:val="19"/>
                <w:szCs w:val="19"/>
              </w:rPr>
            </w:pPr>
            <w:r>
              <w:rPr>
                <w:rFonts w:ascii="宋体" w:eastAsia="宋体" w:hAnsi="宋体" w:cs="宋体" w:hint="eastAsia"/>
                <w:color w:val="333333"/>
                <w:spacing w:val="7"/>
                <w:sz w:val="19"/>
                <w:szCs w:val="19"/>
              </w:rPr>
              <w:t>4</w:t>
            </w:r>
          </w:p>
        </w:tc>
        <w:tc>
          <w:tcPr>
            <w:tcW w:w="1005"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64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64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64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717"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530"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64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64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2151"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r>
      <w:tr w:rsidR="00225C4F">
        <w:trPr>
          <w:trHeight w:val="385"/>
        </w:trPr>
        <w:tc>
          <w:tcPr>
            <w:tcW w:w="586" w:type="dxa"/>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rsidR="00225C4F" w:rsidRDefault="001935FC">
            <w:pPr>
              <w:pStyle w:val="a6"/>
              <w:widowControl/>
              <w:wordWrap w:val="0"/>
              <w:spacing w:beforeAutospacing="0" w:afterAutospacing="0"/>
              <w:jc w:val="center"/>
              <w:rPr>
                <w:rFonts w:ascii="宋体" w:eastAsia="宋体" w:hAnsi="宋体" w:cs="宋体"/>
                <w:sz w:val="25"/>
                <w:szCs w:val="25"/>
              </w:rPr>
            </w:pPr>
            <w:r>
              <w:rPr>
                <w:rFonts w:ascii="宋体" w:eastAsia="宋体" w:hAnsi="宋体" w:cs="宋体" w:hint="eastAsia"/>
                <w:color w:val="333333"/>
                <w:spacing w:val="7"/>
                <w:sz w:val="19"/>
                <w:szCs w:val="19"/>
              </w:rPr>
              <w:t>5</w:t>
            </w:r>
          </w:p>
        </w:tc>
        <w:tc>
          <w:tcPr>
            <w:tcW w:w="1005"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64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64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64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717"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530"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64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642"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c>
          <w:tcPr>
            <w:tcW w:w="2151" w:type="dxa"/>
            <w:tcBorders>
              <w:top w:val="nil"/>
              <w:left w:val="nil"/>
              <w:bottom w:val="single" w:sz="4" w:space="0" w:color="auto"/>
              <w:right w:val="single" w:sz="4" w:space="0" w:color="auto"/>
            </w:tcBorders>
            <w:shd w:val="clear" w:color="auto" w:fill="FFFFFF"/>
            <w:tcMar>
              <w:left w:w="84" w:type="dxa"/>
              <w:right w:w="84" w:type="dxa"/>
            </w:tcMar>
            <w:vAlign w:val="center"/>
          </w:tcPr>
          <w:p w:rsidR="00225C4F" w:rsidRDefault="00225C4F">
            <w:pPr>
              <w:widowControl/>
              <w:wordWrap w:val="0"/>
              <w:rPr>
                <w:rFonts w:ascii="宋体" w:eastAsia="宋体" w:hAnsi="宋体" w:cs="宋体"/>
                <w:color w:val="333333"/>
                <w:spacing w:val="7"/>
                <w:sz w:val="19"/>
                <w:szCs w:val="19"/>
              </w:rPr>
            </w:pPr>
          </w:p>
        </w:tc>
      </w:tr>
    </w:tbl>
    <w:p w:rsidR="00225C4F" w:rsidRDefault="00225C4F">
      <w:pPr>
        <w:pStyle w:val="a6"/>
        <w:widowControl/>
        <w:shd w:val="clear" w:color="auto" w:fill="FFFFFF"/>
        <w:spacing w:beforeAutospacing="0" w:afterAutospacing="0"/>
        <w:jc w:val="both"/>
        <w:rPr>
          <w:rFonts w:ascii="宋体" w:eastAsia="宋体" w:hAnsi="宋体" w:cs="宋体"/>
          <w:color w:val="000000"/>
          <w:spacing w:val="7"/>
          <w:sz w:val="19"/>
          <w:szCs w:val="19"/>
          <w:shd w:val="clear" w:color="auto" w:fill="FFFFFF"/>
        </w:rPr>
      </w:pPr>
    </w:p>
    <w:sectPr w:rsidR="00225C4F" w:rsidSect="00225C4F">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5FC" w:rsidRDefault="001935FC" w:rsidP="00225C4F">
      <w:r>
        <w:separator/>
      </w:r>
    </w:p>
  </w:endnote>
  <w:endnote w:type="continuationSeparator" w:id="1">
    <w:p w:rsidR="001935FC" w:rsidRDefault="001935FC" w:rsidP="00225C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C4F" w:rsidRDefault="00225C4F">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225C4F" w:rsidRDefault="00225C4F">
                <w:pPr>
                  <w:pStyle w:val="a4"/>
                </w:pPr>
                <w:r>
                  <w:fldChar w:fldCharType="begin"/>
                </w:r>
                <w:r w:rsidR="001935FC">
                  <w:instrText xml:space="preserve"> PAGE  \* MERGEFORMAT </w:instrText>
                </w:r>
                <w:r>
                  <w:fldChar w:fldCharType="separate"/>
                </w:r>
                <w:r w:rsidR="00265D43">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5FC" w:rsidRDefault="001935FC" w:rsidP="00225C4F">
      <w:r>
        <w:separator/>
      </w:r>
    </w:p>
  </w:footnote>
  <w:footnote w:type="continuationSeparator" w:id="1">
    <w:p w:rsidR="001935FC" w:rsidRDefault="001935FC" w:rsidP="00225C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BB6F8B"/>
    <w:multiLevelType w:val="singleLevel"/>
    <w:tmpl w:val="C4BB6F8B"/>
    <w:lvl w:ilvl="0">
      <w:start w:val="2"/>
      <w:numFmt w:val="chineseCounting"/>
      <w:suff w:val="nothing"/>
      <w:lvlText w:val="%1、"/>
      <w:lvlJc w:val="left"/>
      <w:rPr>
        <w:rFonts w:hint="eastAsia"/>
      </w:rPr>
    </w:lvl>
  </w:abstractNum>
  <w:abstractNum w:abstractNumId="1">
    <w:nsid w:val="CE439068"/>
    <w:multiLevelType w:val="singleLevel"/>
    <w:tmpl w:val="CE439068"/>
    <w:lvl w:ilvl="0">
      <w:start w:val="1"/>
      <w:numFmt w:val="decimal"/>
      <w:suff w:val="nothing"/>
      <w:lvlText w:val="%1、"/>
      <w:lvlJc w:val="left"/>
    </w:lvl>
  </w:abstractNum>
  <w:abstractNum w:abstractNumId="2">
    <w:nsid w:val="04AF6797"/>
    <w:multiLevelType w:val="singleLevel"/>
    <w:tmpl w:val="04AF6797"/>
    <w:lvl w:ilvl="0">
      <w:start w:val="1"/>
      <w:numFmt w:val="decimal"/>
      <w:suff w:val="nothing"/>
      <w:lvlText w:val="%1、"/>
      <w:lvlJc w:val="left"/>
    </w:lvl>
  </w:abstractNum>
  <w:abstractNum w:abstractNumId="3">
    <w:nsid w:val="12DEC38B"/>
    <w:multiLevelType w:val="singleLevel"/>
    <w:tmpl w:val="12DEC38B"/>
    <w:lvl w:ilvl="0">
      <w:start w:val="3"/>
      <w:numFmt w:val="decimal"/>
      <w:suff w:val="nothing"/>
      <w:lvlText w:val="%1、"/>
      <w:lvlJc w:val="left"/>
    </w:lvl>
  </w:abstractNum>
  <w:abstractNum w:abstractNumId="4">
    <w:nsid w:val="6F495388"/>
    <w:multiLevelType w:val="singleLevel"/>
    <w:tmpl w:val="6F495388"/>
    <w:lvl w:ilvl="0">
      <w:start w:val="3"/>
      <w:numFmt w:val="chineseCounting"/>
      <w:suff w:val="nothing"/>
      <w:lvlText w:val="（%1）"/>
      <w:lvlJc w:val="left"/>
      <w:rPr>
        <w:rFonts w:hint="eastAsia"/>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ZjZTZiMjRhNDYwOTczNTYyYzRhYmYyOTA4MzA2MGUifQ=="/>
  </w:docVars>
  <w:rsids>
    <w:rsidRoot w:val="005F5D51"/>
    <w:rsid w:val="00003A0B"/>
    <w:rsid w:val="00052CDF"/>
    <w:rsid w:val="000979DC"/>
    <w:rsid w:val="00114A6E"/>
    <w:rsid w:val="001935FC"/>
    <w:rsid w:val="00206238"/>
    <w:rsid w:val="00225C4F"/>
    <w:rsid w:val="00265D43"/>
    <w:rsid w:val="003F02CB"/>
    <w:rsid w:val="00480802"/>
    <w:rsid w:val="004D1B93"/>
    <w:rsid w:val="00531C70"/>
    <w:rsid w:val="005A38DC"/>
    <w:rsid w:val="005B35A5"/>
    <w:rsid w:val="005E39D6"/>
    <w:rsid w:val="005F5D51"/>
    <w:rsid w:val="005F6F2F"/>
    <w:rsid w:val="00616819"/>
    <w:rsid w:val="00625137"/>
    <w:rsid w:val="0064167D"/>
    <w:rsid w:val="00663B64"/>
    <w:rsid w:val="006956EB"/>
    <w:rsid w:val="006D106D"/>
    <w:rsid w:val="006E3010"/>
    <w:rsid w:val="006F0F4A"/>
    <w:rsid w:val="006F331F"/>
    <w:rsid w:val="007008AB"/>
    <w:rsid w:val="00704563"/>
    <w:rsid w:val="007A2143"/>
    <w:rsid w:val="007F4667"/>
    <w:rsid w:val="007F6143"/>
    <w:rsid w:val="00807885"/>
    <w:rsid w:val="008E3273"/>
    <w:rsid w:val="00942DBD"/>
    <w:rsid w:val="009B4AF8"/>
    <w:rsid w:val="009C2D39"/>
    <w:rsid w:val="009C6420"/>
    <w:rsid w:val="009F1C61"/>
    <w:rsid w:val="00A24886"/>
    <w:rsid w:val="00A24E52"/>
    <w:rsid w:val="00A35FC2"/>
    <w:rsid w:val="00A43F7C"/>
    <w:rsid w:val="00A5434D"/>
    <w:rsid w:val="00A8726C"/>
    <w:rsid w:val="00A90756"/>
    <w:rsid w:val="00AF1382"/>
    <w:rsid w:val="00AF52EC"/>
    <w:rsid w:val="00B018C7"/>
    <w:rsid w:val="00B10D15"/>
    <w:rsid w:val="00B21F18"/>
    <w:rsid w:val="00B40A50"/>
    <w:rsid w:val="00C40083"/>
    <w:rsid w:val="00C5425F"/>
    <w:rsid w:val="00C74B3A"/>
    <w:rsid w:val="00CC1221"/>
    <w:rsid w:val="00D30F6D"/>
    <w:rsid w:val="00D932D6"/>
    <w:rsid w:val="00DF08CB"/>
    <w:rsid w:val="00EE4582"/>
    <w:rsid w:val="00F26C62"/>
    <w:rsid w:val="016043AA"/>
    <w:rsid w:val="02A4476B"/>
    <w:rsid w:val="051E0804"/>
    <w:rsid w:val="052B2F21"/>
    <w:rsid w:val="05453FE3"/>
    <w:rsid w:val="06B807E5"/>
    <w:rsid w:val="072D2F81"/>
    <w:rsid w:val="07F30800"/>
    <w:rsid w:val="080971F2"/>
    <w:rsid w:val="0B837613"/>
    <w:rsid w:val="0BE300B2"/>
    <w:rsid w:val="0EA004DC"/>
    <w:rsid w:val="0FB3423F"/>
    <w:rsid w:val="11845E93"/>
    <w:rsid w:val="11E20E0C"/>
    <w:rsid w:val="14A37EF6"/>
    <w:rsid w:val="16AB7A35"/>
    <w:rsid w:val="171E4694"/>
    <w:rsid w:val="192341E3"/>
    <w:rsid w:val="1AA72BF2"/>
    <w:rsid w:val="1C316C17"/>
    <w:rsid w:val="1C760ACE"/>
    <w:rsid w:val="1C9571A6"/>
    <w:rsid w:val="1F226CEB"/>
    <w:rsid w:val="21A34113"/>
    <w:rsid w:val="2B294F21"/>
    <w:rsid w:val="2CF31C48"/>
    <w:rsid w:val="2F1A178D"/>
    <w:rsid w:val="30085A89"/>
    <w:rsid w:val="3B4A51A8"/>
    <w:rsid w:val="3E133F77"/>
    <w:rsid w:val="442C7B41"/>
    <w:rsid w:val="44330ECF"/>
    <w:rsid w:val="45E561F9"/>
    <w:rsid w:val="468175A2"/>
    <w:rsid w:val="47BC11DC"/>
    <w:rsid w:val="49115557"/>
    <w:rsid w:val="499C12C5"/>
    <w:rsid w:val="4CE70AA9"/>
    <w:rsid w:val="4E1F24C4"/>
    <w:rsid w:val="4EAD7AD0"/>
    <w:rsid w:val="4FF77255"/>
    <w:rsid w:val="502838B2"/>
    <w:rsid w:val="50681F00"/>
    <w:rsid w:val="50D94BAC"/>
    <w:rsid w:val="51167BAE"/>
    <w:rsid w:val="51856AE2"/>
    <w:rsid w:val="51CD5A6C"/>
    <w:rsid w:val="52263E21"/>
    <w:rsid w:val="52383B54"/>
    <w:rsid w:val="57AF6667"/>
    <w:rsid w:val="58A837E2"/>
    <w:rsid w:val="5AAC50E0"/>
    <w:rsid w:val="5C2238AB"/>
    <w:rsid w:val="5DD230AF"/>
    <w:rsid w:val="5F441D8B"/>
    <w:rsid w:val="60B60A66"/>
    <w:rsid w:val="60F11A9E"/>
    <w:rsid w:val="614147D4"/>
    <w:rsid w:val="627604AD"/>
    <w:rsid w:val="6292105F"/>
    <w:rsid w:val="669E6224"/>
    <w:rsid w:val="676905E0"/>
    <w:rsid w:val="69272501"/>
    <w:rsid w:val="69823BDB"/>
    <w:rsid w:val="6D9E4D5C"/>
    <w:rsid w:val="6F174DC6"/>
    <w:rsid w:val="6F7E6BF3"/>
    <w:rsid w:val="6FDC1B6B"/>
    <w:rsid w:val="7060454A"/>
    <w:rsid w:val="718B3849"/>
    <w:rsid w:val="72930C07"/>
    <w:rsid w:val="73702CF6"/>
    <w:rsid w:val="73744551"/>
    <w:rsid w:val="741C4C2C"/>
    <w:rsid w:val="7490741A"/>
    <w:rsid w:val="75071439"/>
    <w:rsid w:val="786F17CF"/>
    <w:rsid w:val="78C739CF"/>
    <w:rsid w:val="7A100D8F"/>
    <w:rsid w:val="7D9121E7"/>
    <w:rsid w:val="7EFB3D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5C4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225C4F"/>
    <w:rPr>
      <w:sz w:val="18"/>
      <w:szCs w:val="18"/>
    </w:rPr>
  </w:style>
  <w:style w:type="paragraph" w:styleId="a4">
    <w:name w:val="footer"/>
    <w:basedOn w:val="a"/>
    <w:qFormat/>
    <w:rsid w:val="00225C4F"/>
    <w:pPr>
      <w:tabs>
        <w:tab w:val="center" w:pos="4153"/>
        <w:tab w:val="right" w:pos="8306"/>
      </w:tabs>
      <w:snapToGrid w:val="0"/>
      <w:jc w:val="left"/>
    </w:pPr>
    <w:rPr>
      <w:sz w:val="18"/>
    </w:rPr>
  </w:style>
  <w:style w:type="paragraph" w:styleId="a5">
    <w:name w:val="header"/>
    <w:basedOn w:val="a"/>
    <w:rsid w:val="00225C4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225C4F"/>
    <w:pPr>
      <w:spacing w:beforeAutospacing="1" w:afterAutospacing="1"/>
      <w:jc w:val="left"/>
    </w:pPr>
    <w:rPr>
      <w:rFonts w:cs="Times New Roman"/>
      <w:kern w:val="0"/>
      <w:sz w:val="24"/>
    </w:rPr>
  </w:style>
  <w:style w:type="table" w:styleId="a7">
    <w:name w:val="Table Grid"/>
    <w:basedOn w:val="a1"/>
    <w:qFormat/>
    <w:rsid w:val="00225C4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225C4F"/>
    <w:rPr>
      <w:b/>
    </w:rPr>
  </w:style>
  <w:style w:type="character" w:customStyle="1" w:styleId="Char">
    <w:name w:val="批注框文本 Char"/>
    <w:basedOn w:val="a0"/>
    <w:link w:val="a3"/>
    <w:rsid w:val="00225C4F"/>
    <w:rPr>
      <w:rFonts w:asciiTheme="minorHAnsi" w:eastAsiaTheme="minorEastAsia" w:hAnsiTheme="minorHAnsi" w:cstheme="minorBidi"/>
      <w:kern w:val="2"/>
      <w:sz w:val="18"/>
      <w:szCs w:val="18"/>
    </w:rPr>
  </w:style>
  <w:style w:type="paragraph" w:styleId="a9">
    <w:name w:val="List Paragraph"/>
    <w:basedOn w:val="a"/>
    <w:uiPriority w:val="99"/>
    <w:unhideWhenUsed/>
    <w:rsid w:val="00225C4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57E5BA3E-D7AE-4766-A80A-14D486D7ED0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1552</Words>
  <Characters>8849</Characters>
  <Application>Microsoft Office Word</Application>
  <DocSecurity>0</DocSecurity>
  <Lines>73</Lines>
  <Paragraphs>20</Paragraphs>
  <ScaleCrop>false</ScaleCrop>
  <Company>Microsoft</Company>
  <LinksUpToDate>false</LinksUpToDate>
  <CharactersWithSpaces>10381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李佳华</cp:lastModifiedBy>
  <cp:revision>4</cp:revision>
  <cp:lastPrinted>2022-01-17T08:14:00Z</cp:lastPrinted>
  <dcterms:created xsi:type="dcterms:W3CDTF">2023-07-18T02:44:00Z</dcterms:created>
  <dcterms:modified xsi:type="dcterms:W3CDTF">2023-07-22T07:33:00Z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EA9C5F64BE274DC5A015E40F984B5F0C</vt:lpwstr>
  </property>
</Properties>
</file>